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2571750</wp:posOffset>
            </wp:positionH>
            <wp:positionV relativeFrom="paragraph">
              <wp:posOffset>-22225</wp:posOffset>
            </wp:positionV>
            <wp:extent cx="615950" cy="753745"/>
            <wp:effectExtent l="0" t="0" r="0" b="0"/>
            <wp:wrapSquare wrapText="largest"/>
            <wp:docPr id="1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ind w:left="0" w:right="-180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ind w:left="-105" w:right="-180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АДМИНИСТРАЦИЯ ИЛЬИНСКОГО МУНИЦИПАЛЬНОГО РАЙОНА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ИВАНОВСКОЙ ОБЛАСТИ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27</w:t>
      </w:r>
      <w:r>
        <w:rPr>
          <w:sz w:val="28"/>
          <w:szCs w:val="28"/>
          <w:lang w:val="en-US"/>
        </w:rPr>
        <w:t>.11.2024</w:t>
      </w:r>
      <w:r>
        <w:rPr>
          <w:sz w:val="28"/>
          <w:szCs w:val="28"/>
        </w:rPr>
        <w:t xml:space="preserve"> года  № </w:t>
      </w:r>
      <w:r>
        <w:rPr>
          <w:sz w:val="28"/>
          <w:szCs w:val="28"/>
          <w:lang w:val="en-US"/>
        </w:rPr>
        <w:t>351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п. Ильинское-Хованское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bookmarkStart w:id="0" w:name="__DdeLink__274_1688946057"/>
      <w:bookmarkStart w:id="1" w:name="__DdeLink__1717_560300328"/>
      <w:bookmarkStart w:id="2" w:name="__DdeLink__2087_1123634308"/>
      <w:r>
        <w:rPr>
          <w:b/>
          <w:bCs/>
          <w:sz w:val="28"/>
          <w:szCs w:val="28"/>
        </w:rPr>
        <w:t xml:space="preserve">Об установлении </w:t>
      </w:r>
      <w:bookmarkEnd w:id="1"/>
      <w:bookmarkEnd w:id="2"/>
      <w:r>
        <w:rPr>
          <w:b/>
          <w:bCs/>
          <w:sz w:val="28"/>
          <w:szCs w:val="28"/>
        </w:rPr>
        <w:t xml:space="preserve"> 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размера платы за содержание жилого помещения для нанимателей жилых помещений по договорам социального найма, договорам найма жилых помещений государственного или муниципального жилищного фонда и собственников жилых помещений на территории Ильинского муниципального района Ивановской области,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</w:t>
      </w:r>
    </w:p>
    <w:p>
      <w:pPr>
        <w:pStyle w:val="Normal"/>
        <w:jc w:val="center"/>
        <w:rPr/>
      </w:pPr>
      <w:r>
        <w:rPr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bookmarkEnd w:id="0"/>
      <w:r>
        <w:rPr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по типам многоквартирных домов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ind w:left="28" w:right="0" w:hanging="0"/>
        <w:jc w:val="both"/>
        <w:rPr/>
      </w:pPr>
      <w:r>
        <w:rPr>
          <w:b w:val="false"/>
          <w:bCs w:val="false"/>
          <w:sz w:val="28"/>
          <w:szCs w:val="28"/>
        </w:rPr>
        <w:t xml:space="preserve">      </w:t>
      </w:r>
      <w:r>
        <w:rPr>
          <w:b w:val="false"/>
          <w:bCs w:val="false"/>
          <w:sz w:val="28"/>
          <w:szCs w:val="28"/>
        </w:rPr>
        <w:t xml:space="preserve">В соответствии со </w:t>
      </w:r>
      <w:r>
        <w:rPr>
          <w:rStyle w:val="Style17"/>
          <w:b w:val="false"/>
          <w:bCs w:val="false"/>
          <w:color w:val="0000FF"/>
          <w:sz w:val="28"/>
          <w:szCs w:val="28"/>
          <w:u w:val="none"/>
          <w:lang w:val="ru-RU"/>
        </w:rPr>
        <w:t>статьями 154,158</w:t>
      </w:r>
      <w:r>
        <w:rPr>
          <w:b w:val="false"/>
          <w:bCs w:val="false"/>
          <w:sz w:val="28"/>
          <w:szCs w:val="28"/>
        </w:rPr>
        <w:t xml:space="preserve"> Жилищного кодекса Российской Федерации, </w:t>
      </w:r>
      <w:r>
        <w:rPr>
          <w:rStyle w:val="Style17"/>
          <w:b w:val="false"/>
          <w:bCs w:val="false"/>
          <w:color w:val="0000FF"/>
          <w:sz w:val="28"/>
          <w:szCs w:val="28"/>
          <w:u w:val="none"/>
        </w:rPr>
        <w:t>приказом</w:t>
      </w:r>
      <w:r>
        <w:rPr>
          <w:b w:val="false"/>
          <w:bCs w:val="false"/>
          <w:sz w:val="28"/>
          <w:szCs w:val="28"/>
        </w:rPr>
        <w:t xml:space="preserve"> Министерства строительства и жилищно-коммунального хозяйства Российской Федерации от 6 апреля 2018 года N 213/пр "Об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платы", </w:t>
      </w:r>
      <w:r>
        <w:rPr>
          <w:b w:val="false"/>
          <w:bCs w:val="false"/>
          <w:sz w:val="28"/>
          <w:szCs w:val="28"/>
          <w:lang w:val="ru-RU"/>
        </w:rPr>
        <w:t>руководствуясь Экспертным заключением по проведению экспертизы среднего размера за содержание жилых помещений многоквартирных домов жилищного фонда на территории Ильинского городского поселения, которые не приняли решения о выборе способа управления многоквартирным домом, решения об установлении размера платы за содержание жилого помещения, по типам многоквартирных домов,</w:t>
      </w:r>
      <w:r>
        <w:rPr>
          <w:b w:val="false"/>
          <w:bCs w:val="false"/>
          <w:sz w:val="28"/>
          <w:szCs w:val="28"/>
        </w:rPr>
        <w:t xml:space="preserve"> администрация Ильинского муниципального района </w:t>
      </w:r>
      <w:r>
        <w:rPr>
          <w:b/>
          <w:bCs/>
          <w:sz w:val="28"/>
          <w:szCs w:val="28"/>
        </w:rPr>
        <w:t>п о с т а н о в л я е т</w:t>
      </w:r>
      <w:r>
        <w:rPr>
          <w:b w:val="false"/>
          <w:bCs w:val="false"/>
          <w:sz w:val="28"/>
          <w:szCs w:val="28"/>
        </w:rPr>
        <w:t>:</w:t>
      </w:r>
    </w:p>
    <w:p>
      <w:pPr>
        <w:pStyle w:val="Normal"/>
        <w:ind w:left="36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sz w:val="28"/>
          <w:szCs w:val="28"/>
        </w:rPr>
        <w:t>1.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Установить  размер платы за содержание жилого помещения 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для нанимателей жилых помещений по договорам социального найма, договорам найма жилых помещений государственного или муниципального жилищного фонда и собственников жилых помещений на территории Ильинского муниципального района Ивановской области,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по типам многоквартирных домов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, согласно Приложению.</w:t>
      </w:r>
      <w:r>
        <w:rPr>
          <w:sz w:val="28"/>
          <w:szCs w:val="28"/>
        </w:rPr>
        <w:t xml:space="preserve"> 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left" w:pos="-60" w:leader="none"/>
        </w:tabs>
        <w:bidi w:val="0"/>
        <w:spacing w:before="57" w:after="57"/>
        <w:ind w:left="0" w:right="0" w:hanging="0"/>
        <w:jc w:val="both"/>
        <w:rPr/>
      </w:pPr>
      <w:r>
        <w:rPr>
          <w:sz w:val="28"/>
          <w:szCs w:val="28"/>
        </w:rPr>
        <w:t xml:space="preserve">2.Отменить постановление администрации Ильинского муниципального района  от </w:t>
      </w:r>
      <w:r>
        <w:rPr>
          <w:sz w:val="28"/>
          <w:szCs w:val="28"/>
          <w:lang w:val="ru-RU"/>
        </w:rPr>
        <w:t>30.11.202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ru-RU"/>
        </w:rPr>
        <w:t>45</w:t>
      </w:r>
      <w:r>
        <w:rPr>
          <w:sz w:val="28"/>
          <w:szCs w:val="28"/>
        </w:rPr>
        <w:t xml:space="preserve"> «</w:t>
      </w:r>
      <w:r>
        <w:rPr>
          <w:b w:val="false"/>
          <w:bCs w:val="false"/>
          <w:sz w:val="28"/>
          <w:szCs w:val="28"/>
        </w:rPr>
        <w:t>Об установлении платы граждан за жилое помещение по Ильинскому муниципальному району на 20</w:t>
      </w:r>
      <w:r>
        <w:rPr>
          <w:b w:val="false"/>
          <w:bCs w:val="false"/>
          <w:sz w:val="28"/>
          <w:szCs w:val="28"/>
          <w:lang w:val="en-US"/>
        </w:rPr>
        <w:t>23</w:t>
      </w:r>
      <w:r>
        <w:rPr>
          <w:b w:val="false"/>
          <w:bCs w:val="false"/>
          <w:sz w:val="28"/>
          <w:szCs w:val="28"/>
        </w:rPr>
        <w:t xml:space="preserve"> год» .</w:t>
      </w:r>
    </w:p>
    <w:p>
      <w:pPr>
        <w:pStyle w:val="Normal"/>
        <w:widowControl/>
        <w:tabs>
          <w:tab w:val="left" w:pos="-60" w:leader="none"/>
        </w:tabs>
        <w:bidi w:val="0"/>
        <w:spacing w:before="57" w:after="57"/>
        <w:ind w:left="0"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/>
        <w:tabs>
          <w:tab w:val="left" w:pos="1035" w:leader="none"/>
          <w:tab w:val="left" w:pos="1065" w:leader="none"/>
        </w:tabs>
        <w:bidi w:val="0"/>
        <w:ind w:left="0" w:right="0" w:hanging="0"/>
        <w:jc w:val="both"/>
        <w:rPr/>
      </w:pPr>
      <w:r>
        <w:rPr>
          <w:sz w:val="28"/>
          <w:szCs w:val="28"/>
          <w:lang w:val="ru-RU"/>
        </w:rPr>
        <w:t>4. Настоящее постановление вступает в силу с момента подписания и распространяется на правоотношения возникшие с 01.01.202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ru-RU"/>
        </w:rPr>
        <w:t xml:space="preserve"> года.</w:t>
      </w:r>
    </w:p>
    <w:p>
      <w:pPr>
        <w:pStyle w:val="Normal"/>
        <w:widowControl/>
        <w:tabs>
          <w:tab w:val="left" w:pos="1035" w:leader="none"/>
          <w:tab w:val="left" w:pos="1065" w:leader="none"/>
        </w:tabs>
        <w:bidi w:val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ВрИП главы   Ильинского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района:                                                        С.М.Ефремов</w:t>
      </w:r>
    </w:p>
    <w:p>
      <w:pPr>
        <w:pStyle w:val="Normal"/>
        <w:ind w:left="48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  <w:t xml:space="preserve">                                                                                                   </w:t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  <w:t xml:space="preserve">   </w:t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0" w:right="0" w:hanging="0"/>
        <w:jc w:val="right"/>
        <w:rPr/>
      </w:pPr>
      <w:r>
        <w:rPr>
          <w:b/>
          <w:bCs w:val="false"/>
          <w:sz w:val="28"/>
          <w:szCs w:val="28"/>
        </w:rPr>
        <w:t xml:space="preserve">   </w:t>
      </w:r>
    </w:p>
    <w:p>
      <w:pPr>
        <w:pStyle w:val="Normal"/>
        <w:ind w:left="360" w:right="0" w:hanging="0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jc w:val="right"/>
        <w:rPr/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Приложение </w:t>
      </w:r>
    </w:p>
    <w:p>
      <w:pPr>
        <w:pStyle w:val="Normal"/>
        <w:ind w:left="360" w:right="0" w:hanging="0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к постановлению администрации</w:t>
      </w:r>
    </w:p>
    <w:p>
      <w:pPr>
        <w:pStyle w:val="Normal"/>
        <w:ind w:left="360" w:right="0" w:hanging="0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Ильинского муниципального района</w:t>
      </w:r>
    </w:p>
    <w:p>
      <w:pPr>
        <w:pStyle w:val="Normal"/>
        <w:ind w:left="360" w:right="0" w:hanging="0"/>
        <w:jc w:val="right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от </w:t>
      </w:r>
      <w:r>
        <w:rPr>
          <w:b w:val="false"/>
          <w:bCs w:val="false"/>
          <w:sz w:val="24"/>
          <w:szCs w:val="24"/>
          <w:lang w:val="en-US"/>
        </w:rPr>
        <w:t>27</w:t>
      </w:r>
      <w:r>
        <w:rPr>
          <w:b w:val="false"/>
          <w:bCs w:val="false"/>
          <w:sz w:val="24"/>
          <w:szCs w:val="24"/>
          <w:lang w:val="en-US"/>
        </w:rPr>
        <w:t>.11.2024</w:t>
      </w:r>
      <w:r>
        <w:rPr>
          <w:b w:val="false"/>
          <w:bCs w:val="false"/>
          <w:sz w:val="24"/>
          <w:szCs w:val="24"/>
        </w:rPr>
        <w:t xml:space="preserve"> года № </w:t>
      </w:r>
      <w:r>
        <w:rPr>
          <w:b w:val="false"/>
          <w:bCs w:val="false"/>
          <w:sz w:val="24"/>
          <w:szCs w:val="24"/>
          <w:lang w:val="en-US"/>
        </w:rPr>
        <w:t>351</w:t>
      </w:r>
    </w:p>
    <w:p>
      <w:pPr>
        <w:pStyle w:val="Normal"/>
        <w:ind w:left="360" w:right="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hanging="0"/>
        <w:jc w:val="center"/>
        <w:rPr/>
      </w:pPr>
      <w:r>
        <w:rPr>
          <w:b/>
          <w:sz w:val="24"/>
          <w:szCs w:val="24"/>
        </w:rPr>
        <w:t xml:space="preserve">   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Размер платы за содержание  жилого помещения</w:t>
      </w: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ind w:left="360" w:right="0" w:hanging="0"/>
        <w:rPr/>
      </w:pPr>
      <w:r>
        <w:rPr>
          <w:b w:val="false"/>
          <w:bCs w:val="false"/>
          <w:sz w:val="24"/>
          <w:szCs w:val="24"/>
        </w:rPr>
        <w:t>(для нанимателей жилых помещений по договорам социального найма, договорам найма жилых помещений государственного или муниципального жилищного фонда и собственников жилых помещений на территории Ильинского муниципального района Ивановской области,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</w:t>
      </w:r>
      <w:r>
        <w:rPr>
          <w:b w:val="false"/>
          <w:bCs w:val="false"/>
          <w:sz w:val="24"/>
          <w:szCs w:val="24"/>
          <w:lang w:val="en-US"/>
        </w:rPr>
        <w:t xml:space="preserve"> </w:t>
      </w:r>
      <w:r>
        <w:rPr>
          <w:b w:val="false"/>
          <w:bCs w:val="false"/>
          <w:sz w:val="24"/>
          <w:szCs w:val="24"/>
        </w:rPr>
        <w:t>по типам многоквартирных домов)</w:t>
      </w:r>
      <w:r>
        <w:rPr>
          <w:b w:val="false"/>
          <w:bCs w:val="false"/>
          <w:sz w:val="28"/>
          <w:szCs w:val="28"/>
        </w:rPr>
        <w:t xml:space="preserve">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010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4140"/>
        <w:gridCol w:w="1470"/>
        <w:gridCol w:w="3400"/>
      </w:tblGrid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center"/>
              <w:rPr/>
            </w:pPr>
            <w:r>
              <w:rPr>
                <w:sz w:val="20"/>
                <w:szCs w:val="20"/>
              </w:rPr>
              <w:t xml:space="preserve">    </w:t>
            </w:r>
          </w:p>
          <w:p>
            <w:pPr>
              <w:pStyle w:val="Style24"/>
              <w:jc w:val="center"/>
              <w:rPr/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Жилые дома по степени благоустройства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both"/>
              <w:rPr/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Единица</w:t>
            </w:r>
          </w:p>
          <w:p>
            <w:pPr>
              <w:pStyle w:val="Style24"/>
              <w:jc w:val="both"/>
              <w:rPr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Плата за содержание жилого помещения </w:t>
            </w:r>
          </w:p>
          <w:p>
            <w:pPr>
              <w:pStyle w:val="Style24"/>
              <w:jc w:val="center"/>
              <w:rPr/>
            </w:pPr>
            <w:r>
              <w:rPr>
                <w:sz w:val="20"/>
                <w:szCs w:val="20"/>
              </w:rPr>
              <w:t>(без платы за коммунальные услуги в целях содержания общего имущества)</w:t>
            </w:r>
          </w:p>
          <w:p>
            <w:pPr>
              <w:pStyle w:val="Style24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с </w:t>
            </w:r>
            <w:r>
              <w:rPr>
                <w:b/>
                <w:bCs/>
                <w:sz w:val="20"/>
                <w:szCs w:val="20"/>
                <w:lang w:val="en-US"/>
              </w:rPr>
              <w:t>01.01.2025г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both"/>
              <w:rPr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1-2 этажные дома кирпичные, имеющие не все виды благоустройства (отсутствие одного или нескольких видов благоустройства)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center"/>
              <w:rPr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Руб./м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11,49</w:t>
            </w:r>
          </w:p>
          <w:p>
            <w:pPr>
              <w:pStyle w:val="Style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both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1-2 этажные дома со смешанными и деревянными стенами, со всеми видами благоустройства: (отопление, холодное водоснабжение, горячее водоснабжение (газовый водонагреватель), водоотведение, электроснабжение, газоснабжение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center"/>
              <w:rPr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Руб./м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12,92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both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1-2 этажные дома кирпичные,  со всеми видами благоустройства: (отопление, холодное водоснабжение, горячее водоснабжение (газовый водонагреватель), водоотведение, электроснабжение, газоснабжение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center"/>
              <w:rPr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Руб./м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16,48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both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2-3 этажные дома панельные,  со всеми видами благоустройства: (отопление, холодное водоснабжение, горячее водоснабжение (газовый водонагреватель), водоотведение, электроснабжение, газоснабжение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center"/>
              <w:rPr/>
            </w:pPr>
            <w:r>
              <w:rPr>
                <w:sz w:val="20"/>
                <w:szCs w:val="20"/>
              </w:rPr>
              <w:t>Руб./м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4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13,95</w:t>
            </w:r>
          </w:p>
        </w:tc>
      </w:tr>
    </w:tbl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bCs w:val="false"/>
          <w:sz w:val="28"/>
          <w:szCs w:val="28"/>
        </w:rPr>
        <w:t xml:space="preserve">  </w:t>
      </w:r>
      <w:r>
        <w:rPr>
          <w:b/>
          <w:bCs w:val="false"/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pStyle w:val="Normal"/>
        <w:ind w:left="360" w:right="0" w:hanging="0"/>
        <w:rPr/>
      </w:pPr>
      <w:r>
        <w:rPr>
          <w:b/>
          <w:bCs w:val="false"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pStyle w:val="Normal"/>
        <w:ind w:left="360" w:right="0" w:hanging="0"/>
        <w:rPr/>
      </w:pPr>
      <w:r>
        <w:rPr>
          <w:b/>
          <w:bCs w:val="false"/>
          <w:sz w:val="24"/>
          <w:szCs w:val="24"/>
        </w:rPr>
        <w:t xml:space="preserve">                                                                                                                       </w:t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Нормальный (таблица)"/>
    <w:basedOn w:val="Normal"/>
    <w:qFormat/>
    <w:pPr>
      <w:suppressAutoHyphens w:val="false"/>
      <w:spacing w:before="0" w:after="0"/>
      <w:jc w:val="both"/>
    </w:pPr>
    <w:rPr>
      <w:rFonts w:ascii="Times New Roman CYR" w:hAnsi="Times New Roman CYR"/>
      <w:sz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1328</TotalTime>
  <Application>LibreOffice/5.2.3.3$Windows_X86_64 LibreOffice_project/d54a8868f08a7b39642414cf2c8ef2f228f780cf</Application>
  <Pages>3</Pages>
  <Words>508</Words>
  <Characters>3677</Characters>
  <CharactersWithSpaces>5314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2006-01-01T00:51:00Z</dcterms:created>
  <dc:creator>.</dc:creator>
  <dc:description/>
  <dc:language>ru-RU</dc:language>
  <cp:lastModifiedBy/>
  <cp:lastPrinted>2024-11-27T14:43:10Z</cp:lastPrinted>
  <dcterms:modified xsi:type="dcterms:W3CDTF">2024-11-27T14:46:57Z</dcterms:modified>
  <cp:revision>49</cp:revision>
  <dc:subject/>
  <dc:title>ГЛАВА ИЛЬИНСКОГО МУНИЦИПАЛЬНОГО РАЙОНА</dc:title>
</cp:coreProperties>
</file>