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media/image3.tif" ContentType="image/tiff"/>
  <Override PartName="/word/media/image4.png" ContentType="image/png"/>
  <Override PartName="/word/media/image5.tif" ContentType="image/tiff"/>
  <Override PartName="/word/media/image6.png" ContentType="image/png"/>
  <Override PartName="/word/media/image7.jpeg" ContentType="image/jpe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napToGrid w:val="false"/>
        <w:spacing w:before="0" w:after="0"/>
        <w:contextualSpacing/>
        <w:jc w:val="right"/>
        <w:rPr/>
      </w:pPr>
      <w:r>
        <w:rPr/>
        <w:t>Приложение к решению Совета</w:t>
      </w:r>
    </w:p>
    <w:p>
      <w:pPr>
        <w:pStyle w:val="Normal"/>
        <w:snapToGrid w:val="false"/>
        <w:spacing w:before="0" w:after="0"/>
        <w:contextualSpacing/>
        <w:jc w:val="right"/>
        <w:rPr/>
      </w:pPr>
      <w:r>
        <w:rPr/>
        <w:t>Ильинского городского поселения</w:t>
      </w:r>
    </w:p>
    <w:p>
      <w:pPr>
        <w:pStyle w:val="Normal"/>
        <w:snapToGrid w:val="false"/>
        <w:spacing w:before="0" w:after="0"/>
        <w:contextualSpacing/>
        <w:jc w:val="right"/>
        <w:rPr/>
      </w:pPr>
      <w:r>
        <w:rPr/>
        <w:t>от____________№__________</w:t>
      </w:r>
    </w:p>
    <w:p>
      <w:pPr>
        <w:pStyle w:val="Normal"/>
        <w:snapToGrid w:val="false"/>
        <w:spacing w:before="0" w:after="0"/>
        <w:contextualSpacing/>
        <w:jc w:val="right"/>
        <w:rPr/>
      </w:pPr>
      <w:r>
        <w:rPr/>
      </w:r>
    </w:p>
    <w:p>
      <w:pPr>
        <w:pStyle w:val="Normal"/>
        <w:snapToGrid w:val="false"/>
        <w:spacing w:before="0" w:after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>
        <w:rPr>
          <w:rFonts w:ascii="Impact" w:hAnsi="Impact"/>
          <w:bCs/>
          <w:color w:val="000000"/>
          <w:spacing w:val="20"/>
          <w:sz w:val="40"/>
          <w:szCs w:val="40"/>
        </w:rPr>
      </w:r>
    </w:p>
    <w:p>
      <w:pPr>
        <w:pStyle w:val="Normal"/>
        <w:snapToGrid w:val="false"/>
        <w:spacing w:before="0" w:after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>
        <w:rPr/>
        <w:drawing>
          <wp:inline distT="0" distB="0" distL="0" distR="0">
            <wp:extent cx="410210" cy="605790"/>
            <wp:effectExtent l="0" t="0" r="0" b="0"/>
            <wp:docPr id="1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240" w:after="0"/>
        <w:jc w:val="center"/>
        <w:rPr>
          <w:rFonts w:ascii="Century Gothic" w:hAnsi="Century Gothic"/>
          <w:b/>
          <w:b/>
          <w:sz w:val="14"/>
          <w:szCs w:val="14"/>
        </w:rPr>
      </w:pPr>
      <w:r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>
      <w:pPr>
        <w:pStyle w:val="Normal"/>
        <w:snapToGrid w:val="false"/>
        <w:spacing w:before="0" w:after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>
        <w:rPr>
          <w:rFonts w:ascii="Century Gothic" w:hAnsi="Century Gothic"/>
          <w:color w:val="002060"/>
          <w:sz w:val="56"/>
          <w:szCs w:val="56"/>
        </w:rPr>
        <w:t>РУС</w:t>
      </w:r>
      <w:r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>
      <w:pPr>
        <w:pStyle w:val="Normal"/>
        <w:spacing w:before="0" w:after="0"/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>
      <w:pPr>
        <w:pStyle w:val="Normal"/>
        <w:spacing w:before="0" w:after="0"/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Arial Black" w:hAnsi="Arial Black"/>
          <w:bCs/>
          <w:color w:val="002060"/>
          <w:spacing w:val="20"/>
          <w:sz w:val="16"/>
          <w:szCs w:val="16"/>
        </w:rPr>
      </w:r>
    </w:p>
    <w:p>
      <w:pPr>
        <w:pStyle w:val="Normal"/>
        <w:spacing w:before="0" w:after="0"/>
        <w:contextualSpacing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rFonts w:eastAsia="Arial" w:cs="Arial"/>
          <w:b/>
          <w:b/>
          <w:bCs/>
          <w:color w:val="000000"/>
          <w:sz w:val="30"/>
          <w:szCs w:val="30"/>
        </w:rPr>
      </w:pPr>
      <w:r>
        <w:rPr>
          <w:b/>
        </w:rPr>
        <w:t xml:space="preserve">  </w:t>
      </w:r>
      <w:r>
        <w:rPr>
          <w:b/>
        </w:rPr>
        <w:t xml:space="preserve">Заказчик: </w:t>
      </w:r>
      <w:r>
        <w:rPr>
          <w:b/>
          <w:bCs/>
          <w:spacing w:val="-1"/>
        </w:rPr>
        <w:t>Администрация Ильинского муниципального района Ивановской области</w:t>
      </w:r>
    </w:p>
    <w:p>
      <w:pPr>
        <w:pStyle w:val="Normal"/>
        <w:jc w:val="center"/>
        <w:rPr>
          <w:rFonts w:eastAsia="Arial" w:cs="Arial"/>
          <w:b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Normal"/>
        <w:jc w:val="center"/>
        <w:rPr>
          <w:rFonts w:eastAsia="Arial" w:cs="Arial"/>
          <w:b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Normal"/>
        <w:jc w:val="center"/>
        <w:rPr>
          <w:rFonts w:eastAsia="Arial" w:cs="Arial"/>
          <w:b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33"/>
        <w:shd w:val="clear" w:color="auto" w:fill="FFFFFF"/>
        <w:spacing w:lineRule="auto" w:line="360"/>
        <w:ind w:left="555" w:hanging="0"/>
        <w:jc w:val="center"/>
        <w:rPr>
          <w:b/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ГЕНЕРАЛЬНЫЙ ПЛАН</w:t>
      </w:r>
    </w:p>
    <w:p>
      <w:pPr>
        <w:pStyle w:val="33"/>
        <w:shd w:val="clear" w:color="auto" w:fill="FFFFFF"/>
        <w:ind w:left="556" w:hanging="0"/>
        <w:jc w:val="center"/>
        <w:rPr>
          <w:b/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Ильинского городского поселения Ильинского муниципального района Ивановской области</w:t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 О ТЕРРИТОРИАЛЬНОМ ПЛАНИРОВАНИИ</w:t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  <w:b/>
          <w:i/>
          <w:i/>
        </w:rPr>
      </w:pPr>
      <w:r>
        <w:rPr>
          <w:b/>
          <w:i/>
        </w:rPr>
        <w:t xml:space="preserve">        </w:t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  <w:t>2022 год</w:t>
      </w:r>
    </w:p>
    <w:p>
      <w:pPr>
        <w:pStyle w:val="Normal"/>
        <w:spacing w:before="0" w:after="0"/>
        <w:contextualSpacing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>
      <w:pPr>
        <w:pStyle w:val="Normal"/>
        <w:spacing w:before="0" w:after="0"/>
        <w:contextualSpacing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</w:t>
      </w:r>
      <w:r>
        <w:rPr>
          <w:b/>
          <w:caps/>
          <w:sz w:val="28"/>
          <w:szCs w:val="28"/>
        </w:rPr>
        <w:t>Общество с ограниченной ответственностью</w:t>
      </w:r>
    </w:p>
    <w:p>
      <w:pPr>
        <w:pStyle w:val="Normal"/>
        <w:spacing w:before="0" w:after="0"/>
        <w:contextualSpacing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</w:t>
      </w:r>
      <w:r>
        <w:rPr>
          <w:b/>
          <w:caps/>
          <w:sz w:val="28"/>
          <w:szCs w:val="28"/>
        </w:rPr>
        <w:t>«Проектно-строительная компания</w:t>
      </w:r>
    </w:p>
    <w:p>
      <w:pPr>
        <w:pStyle w:val="Normal"/>
        <w:spacing w:before="0" w:after="0"/>
        <w:contextualSpacing/>
        <w:jc w:val="center"/>
        <w:rPr>
          <w:b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«РУСПРОЕКТ»</w:t>
      </w:r>
    </w:p>
    <w:p>
      <w:pPr>
        <w:pStyle w:val="Normal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cs="Arial"/>
          <w:b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jc w:val="center"/>
        <w:rPr>
          <w:rFonts w:cs="Arial"/>
          <w:b/>
          <w:b/>
          <w:bCs/>
          <w:i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</w:r>
    </w:p>
    <w:p>
      <w:pPr>
        <w:pStyle w:val="Normal"/>
        <w:spacing w:before="0" w:after="0"/>
        <w:contextualSpacing/>
        <w:rPr>
          <w:b/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>
      <w:pPr>
        <w:pStyle w:val="Normal"/>
        <w:jc w:val="center"/>
        <w:rPr>
          <w:rFonts w:eastAsia="Arial" w:cs="Arial"/>
          <w:b/>
          <w:b/>
          <w:bCs/>
          <w:color w:val="000000"/>
          <w:sz w:val="30"/>
          <w:szCs w:val="30"/>
        </w:rPr>
      </w:pPr>
      <w:r>
        <w:rPr>
          <w:b/>
        </w:rPr>
        <w:t xml:space="preserve">  </w:t>
      </w:r>
      <w:r>
        <w:rPr>
          <w:b/>
        </w:rPr>
        <w:t xml:space="preserve">Заказчик: </w:t>
      </w:r>
      <w:r>
        <w:rPr>
          <w:b/>
          <w:bCs/>
          <w:spacing w:val="-1"/>
        </w:rPr>
        <w:t>Администрация Ильинского муниципального района Ивановской области</w:t>
      </w:r>
    </w:p>
    <w:p>
      <w:pPr>
        <w:pStyle w:val="Normal"/>
        <w:jc w:val="center"/>
        <w:rPr>
          <w:rFonts w:eastAsia="Arial" w:cs="Arial"/>
          <w:b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Normal"/>
        <w:jc w:val="center"/>
        <w:rPr>
          <w:rFonts w:eastAsia="Arial" w:cs="Arial"/>
          <w:b/>
          <w:b/>
          <w:bCs/>
          <w:color w:val="000000"/>
          <w:sz w:val="30"/>
          <w:szCs w:val="30"/>
        </w:rPr>
      </w:pPr>
      <w:r>
        <w:rPr>
          <w:rFonts w:eastAsia="Arial" w:cs="Arial"/>
          <w:b/>
          <w:bCs/>
          <w:color w:val="000000"/>
          <w:sz w:val="30"/>
          <w:szCs w:val="30"/>
        </w:rPr>
      </w:r>
    </w:p>
    <w:p>
      <w:pPr>
        <w:pStyle w:val="33"/>
        <w:shd w:val="clear" w:color="auto" w:fill="FFFFFF"/>
        <w:spacing w:lineRule="auto" w:line="360"/>
        <w:ind w:left="555" w:hanging="0"/>
        <w:jc w:val="center"/>
        <w:rPr>
          <w:b/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ГЕНЕРАЛЬНЫЙ ПЛАН</w:t>
      </w:r>
    </w:p>
    <w:p>
      <w:pPr>
        <w:pStyle w:val="33"/>
        <w:shd w:val="clear" w:color="auto" w:fill="FFFFFF"/>
        <w:ind w:left="556" w:hanging="0"/>
        <w:jc w:val="center"/>
        <w:rPr>
          <w:b/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Ильинского городского поселения Ильинского муниципального района Ивановской области</w:t>
      </w:r>
    </w:p>
    <w:p>
      <w:pPr>
        <w:pStyle w:val="Normal"/>
        <w:jc w:val="center"/>
        <w:rPr>
          <w:b/>
          <w:b/>
          <w:sz w:val="34"/>
          <w:szCs w:val="34"/>
        </w:rPr>
      </w:pPr>
      <w:r>
        <w:rPr>
          <w:b/>
          <w:sz w:val="34"/>
          <w:szCs w:val="34"/>
        </w:rPr>
      </w:r>
    </w:p>
    <w:p>
      <w:pPr>
        <w:pStyle w:val="Normal"/>
        <w:spacing w:before="0" w:after="0"/>
        <w:contextualSpacing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 О ТЕРРИТОРИАЛЬНОМ ПЛАНИРОВАНИИ</w:t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W w:w="8080" w:type="dxa"/>
        <w:jc w:val="left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869"/>
        <w:gridCol w:w="1949"/>
        <w:gridCol w:w="3262"/>
      </w:tblGrid>
      <w:tr>
        <w:trPr/>
        <w:tc>
          <w:tcPr>
            <w:tcW w:w="2869" w:type="dxa"/>
            <w:tcBorders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Генеральный директор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ГАП</w:t>
            </w:r>
          </w:p>
        </w:tc>
        <w:tc>
          <w:tcPr>
            <w:tcW w:w="194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262" w:type="dxa"/>
            <w:tcBorders/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  <w:t xml:space="preserve">  </w:t>
            </w:r>
            <w:r>
              <w:rPr/>
              <w:t>Е.В. Губанова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  <w:p>
            <w:pPr>
              <w:pStyle w:val="Normal"/>
              <w:widowControl w:val="false"/>
              <w:jc w:val="right"/>
              <w:rPr/>
            </w:pPr>
            <w:r>
              <w:rPr/>
              <w:t xml:space="preserve"> </w:t>
            </w:r>
            <w:r>
              <w:rPr/>
              <w:t>С.М. Царахов</w:t>
            </w:r>
          </w:p>
        </w:tc>
      </w:tr>
    </w:tbl>
    <w:p>
      <w:pPr>
        <w:sectPr>
          <w:headerReference w:type="default" r:id="rId3"/>
          <w:headerReference w:type="first" r:id="rId4"/>
          <w:type w:val="nextPage"/>
          <w:pgSz w:w="11906" w:h="16838"/>
          <w:pgMar w:left="1134" w:right="851" w:gutter="0" w:header="567" w:top="624" w:footer="0" w:bottom="295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contextualSpacing/>
        <w:jc w:val="center"/>
        <w:rPr>
          <w:b/>
          <w:b/>
        </w:rPr>
      </w:pPr>
      <w:r>
        <w:rPr>
          <w:b/>
        </w:rPr>
        <w:t>2022 год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ИСПОЛНИТЕЛИ</w:t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pPr w:bottomFromText="0" w:horzAnchor="text" w:leftFromText="180" w:rightFromText="180" w:tblpX="0" w:tblpY="1" w:topFromText="0" w:vertAnchor="text"/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8"/>
        <w:gridCol w:w="2977"/>
        <w:gridCol w:w="1701"/>
      </w:tblGrid>
      <w:tr>
        <w:trPr/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Times New Roman"/>
                <w:b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Times New Roman"/>
                <w:b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Подпись</w:t>
            </w:r>
          </w:p>
        </w:tc>
      </w:tr>
      <w:tr>
        <w:trPr>
          <w:trHeight w:val="2272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ГАП</w:t>
            </w:r>
          </w:p>
          <w:p>
            <w:pPr>
              <w:pStyle w:val="Normal"/>
              <w:widowControl w:val="false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Архитектор</w:t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Ведущий инженер</w:t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 контроль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С.М. Царахов</w:t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Ю.В. Сокур</w:t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С.В. Казаков</w:t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И.В. Кудинова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567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-74930</wp:posOffset>
                  </wp:positionV>
                  <wp:extent cx="895350" cy="638175"/>
                  <wp:effectExtent l="0" t="0" r="0" b="0"/>
                  <wp:wrapNone/>
                  <wp:docPr id="4" name="Рисунок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665480</wp:posOffset>
                  </wp:positionV>
                  <wp:extent cx="919480" cy="589280"/>
                  <wp:effectExtent l="0" t="0" r="0" b="0"/>
                  <wp:wrapNone/>
                  <wp:docPr id="5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80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114300" distR="114300" simplePos="0" locked="0" layoutInCell="1" allowOverlap="1" relativeHeight="19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300990</wp:posOffset>
                  </wp:positionV>
                  <wp:extent cx="647700" cy="495300"/>
                  <wp:effectExtent l="0" t="0" r="0" b="0"/>
                  <wp:wrapThrough wrapText="bothSides">
                    <wp:wrapPolygon edited="0">
                      <wp:start x="-632" y="0"/>
                      <wp:lineTo x="-632" y="20724"/>
                      <wp:lineTo x="21563" y="20724"/>
                      <wp:lineTo x="21563" y="0"/>
                      <wp:lineTo x="-632" y="0"/>
                    </wp:wrapPolygon>
                  </wp:wrapThrough>
                  <wp:docPr id="6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</w:r>
          </w:p>
          <w:p>
            <w:pPr>
              <w:pStyle w:val="Normal"/>
              <w:widowControl w:val="false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119380</wp:posOffset>
                  </wp:positionV>
                  <wp:extent cx="902335" cy="535305"/>
                  <wp:effectExtent l="0" t="0" r="0" b="0"/>
                  <wp:wrapNone/>
                  <wp:docPr id="7" name="Рисунок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53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</w:r>
          </w:p>
          <w:p>
            <w:pPr>
              <w:pStyle w:val="Normal"/>
              <w:widowControl w:val="false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</w:r>
          </w:p>
          <w:p>
            <w:pPr>
              <w:pStyle w:val="Normal"/>
              <w:widowControl w:val="false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</w:tbl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/>
        <w:br w:type="textWrapping" w:clear="all"/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/>
      </w:r>
    </w:p>
    <w:p>
      <w:pPr>
        <w:pStyle w:val="ListParagraph"/>
        <w:jc w:val="center"/>
        <w:rPr>
          <w:sz w:val="28"/>
          <w:szCs w:val="28"/>
        </w:rPr>
      </w:pPr>
      <w:r>
        <w:rPr/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СОСТАВ ПРОЕКТА</w:t>
      </w:r>
    </w:p>
    <w:p>
      <w:pPr>
        <w:pStyle w:val="Normal"/>
        <w:spacing w:before="0" w:after="0"/>
        <w:ind w:firstLine="567"/>
        <w:contextualSpacing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33"/>
        <w:shd w:val="clear" w:color="auto" w:fill="FFFFFF"/>
        <w:ind w:left="556" w:hanging="0"/>
        <w:jc w:val="center"/>
        <w:rPr>
          <w:b/>
          <w:b/>
          <w:color w:val="002060"/>
          <w:sz w:val="36"/>
          <w:szCs w:val="36"/>
        </w:rPr>
      </w:pPr>
      <w:r>
        <w:rPr>
          <w:b/>
          <w:sz w:val="24"/>
          <w:szCs w:val="24"/>
        </w:rPr>
        <w:t>Генерального плана</w:t>
      </w:r>
      <w:r>
        <w:rPr>
          <w:b/>
          <w:color w:val="002060"/>
          <w:sz w:val="36"/>
          <w:szCs w:val="36"/>
        </w:rPr>
        <w:t xml:space="preserve"> </w:t>
      </w:r>
      <w:r>
        <w:rPr>
          <w:b/>
          <w:sz w:val="24"/>
          <w:szCs w:val="24"/>
        </w:rPr>
        <w:t>Ильинского городского поселения Ильинского муниципального района Ивановской области</w:t>
      </w:r>
    </w:p>
    <w:p>
      <w:pPr>
        <w:pStyle w:val="33"/>
        <w:shd w:val="clear" w:color="auto" w:fill="FFFFFF"/>
        <w:ind w:left="556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>
          <w:rStyle w:val="21"/>
          <w:rFonts w:eastAsia="Courier New"/>
          <w:sz w:val="24"/>
          <w:szCs w:val="24"/>
        </w:rPr>
        <w:t>Утверждаемые материалы</w:t>
      </w:r>
      <w:r>
        <w:rPr/>
        <w:t>:</w:t>
      </w:r>
    </w:p>
    <w:p>
      <w:pPr>
        <w:pStyle w:val="Normal"/>
        <w:jc w:val="center"/>
        <w:rPr/>
      </w:pPr>
      <w:r>
        <w:rPr/>
        <w:t>Часть I. Положение о территориальном планировании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rStyle w:val="21"/>
          <w:rFonts w:eastAsia="Courier New"/>
          <w:sz w:val="24"/>
          <w:szCs w:val="24"/>
        </w:rPr>
        <w:t>Обосновывающие материалы:</w:t>
      </w:r>
    </w:p>
    <w:p>
      <w:pPr>
        <w:pStyle w:val="Normal"/>
        <w:jc w:val="center"/>
        <w:rPr/>
      </w:pPr>
      <w:r>
        <w:rPr/>
        <w:t>Часть II. Материалы по обоснованию генерального плана</w:t>
      </w:r>
    </w:p>
    <w:p>
      <w:pPr>
        <w:pStyle w:val="4"/>
        <w:shd w:val="clear" w:color="auto" w:fill="auto"/>
        <w:tabs>
          <w:tab w:val="clear" w:pos="709"/>
          <w:tab w:val="left" w:pos="2938" w:leader="underscore"/>
          <w:tab w:val="left" w:pos="8856" w:leader="underscore"/>
        </w:tabs>
        <w:spacing w:lineRule="auto" w:line="240" w:before="0" w:after="0"/>
        <w:ind w:right="800" w:firstLine="567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4"/>
        <w:shd w:val="clear" w:color="auto" w:fill="auto"/>
        <w:tabs>
          <w:tab w:val="clear" w:pos="709"/>
          <w:tab w:val="left" w:pos="2938" w:leader="underscore"/>
          <w:tab w:val="left" w:pos="8856" w:leader="underscore"/>
        </w:tabs>
        <w:spacing w:lineRule="auto" w:line="240" w:before="0" w:after="0"/>
        <w:ind w:right="800" w:firstLine="567"/>
        <w:contextualSpacing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w="11906" w:h="16838"/>
          <w:pgMar w:left="1134" w:right="851" w:gutter="0" w:header="567" w:top="624" w:footer="0" w:bottom="295"/>
          <w:formProt w:val="false"/>
          <w:textDirection w:val="lrTb"/>
          <w:docGrid w:type="default" w:linePitch="360" w:charSpace="0"/>
        </w:sectPr>
      </w:pP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7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webHidden/>
              <w:vanish w:val="false"/>
            </w:rPr>
            <w:instrText xml:space="preserve"> TOC \z \o "1-3" \u \h</w:instrText>
          </w:r>
          <w:r>
            <w:rPr>
              <w:webHidden/>
              <w:vanish w:val="false"/>
            </w:rPr>
            <w:fldChar w:fldCharType="separate"/>
          </w:r>
          <w:hyperlink w:anchor="_Toc9843513">
            <w:r>
              <w:rPr>
                <w:webHidden/>
                <w:vanish w:val="false"/>
              </w:rPr>
              <w:t>1.</w:t>
            </w:r>
            <w:r>
              <w:rPr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/>
              <w:t>Общие положения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_Toc9843513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hyperlink w:anchor="_Toc9843514">
            <w:r>
              <w:rPr>
                <w:webHidden/>
                <w:vanish w:val="false"/>
              </w:rPr>
              <w:t>2.</w:t>
            </w:r>
            <w:r>
              <w:rPr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/>
              <w:t>Сведения о видах, назначении и наименованиях планируемых для размещения объектов местного значения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_Toc9843514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1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_Toc9843515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</w:rPr>
      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hyperlink w:anchor="_Toc9843516">
            <w:r>
              <w:rPr>
                <w:webHidden/>
                <w:vanish w:val="false"/>
              </w:rPr>
              <w:t>3.</w:t>
            </w:r>
            <w:r>
              <w:rPr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/>
              <w:t>Функциональное зонирование территории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_Toc9843516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1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_Toc9843517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</w:rPr>
              <w:t>3.1. Состав функциональных зон</w:t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1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_Toc9843518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</w:rPr>
              <w:t>3.2. Параметры функциональных зон</w:t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hyperlink w:anchor="_Toc9843519">
            <w:r>
              <w:rPr>
                <w:webHidden/>
                <w:vanish w:val="false"/>
              </w:rPr>
              <w:t>4.</w:t>
            </w:r>
            <w:r>
              <w:rPr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/>
              <w:t>Сведения о планируемых для размещения в функциональных зонах объектах федерального значения, объектов регионального значения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_Toc9843519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2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_Toc9843520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</w:rPr>
      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2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_Toc9843521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</w:rPr>
      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9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caps w:val="false"/>
              <w:smallCaps w:val="false"/>
              <w:sz w:val="22"/>
              <w:szCs w:val="22"/>
              <w:lang w:eastAsia="ru-RU"/>
            </w:rPr>
          </w:pPr>
          <w:hyperlink w:anchor="_Toc984352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_Toc9843522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</w:rPr>
      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clear" w:pos="709"/>
              <w:tab w:val="left" w:pos="480" w:leader="none"/>
              <w:tab w:val="right" w:pos="9910" w:leader="underscore"/>
            </w:tabs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bCs w:val="false"/>
              <w:caps w:val="false"/>
              <w:smallCaps w:val="false"/>
              <w:sz w:val="22"/>
              <w:szCs w:val="22"/>
              <w:lang w:eastAsia="ru-RU"/>
            </w:rPr>
          </w:pPr>
          <w:hyperlink w:anchor="_Toc9843523">
            <w:r>
              <w:rPr>
                <w:webHidden/>
                <w:vanish w:val="false"/>
              </w:rPr>
              <w:t>5.</w:t>
            </w:r>
            <w:r>
              <w:rPr>
                <w:rFonts w:eastAsia="" w:cs="" w:ascii="Calibri" w:hAnsi="Calibri" w:asciiTheme="minorHAnsi" w:cstheme="minorBidi" w:eastAsiaTheme="minorEastAsia" w:hAnsiTheme="minorHAnsi"/>
                <w:b w:val="false"/>
                <w:bCs w:val="false"/>
                <w:caps w:val="false"/>
                <w:smallCaps w:val="false"/>
                <w:sz w:val="22"/>
                <w:szCs w:val="22"/>
                <w:lang w:eastAsia="ru-RU"/>
              </w:rPr>
              <w:tab/>
            </w:r>
            <w:r>
              <w:rPr/>
              <w:t>Состав графической части (Часть I)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_Toc9843523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</w:rPr>
              <w:tab/>
              <w:t>20</w:t>
            </w:r>
            <w:r>
              <w:rPr>
                <w:webHidden/>
              </w:rPr>
              <w:fldChar w:fldCharType="end"/>
            </w:r>
          </w:hyperlink>
          <w:r>
            <w:rPr>
              <w:vanish w:val="false"/>
            </w:rPr>
            <w:fldChar w:fldCharType="end"/>
          </w:r>
        </w:p>
      </w:sdtContent>
    </w:sdt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before="0" w:after="0"/>
        <w:contextualSpacing/>
        <w:rPr>
          <w:lang w:val="ru-RU"/>
        </w:rPr>
      </w:pPr>
      <w:r>
        <w:rPr>
          <w:lang w:val="ru-RU"/>
        </w:rPr>
      </w:r>
      <w:r>
        <w:br w:type="page"/>
      </w:r>
    </w:p>
    <w:p>
      <w:pPr>
        <w:pStyle w:val="1"/>
        <w:numPr>
          <w:ilvl w:val="0"/>
          <w:numId w:val="1"/>
        </w:numPr>
        <w:spacing w:before="0" w:after="0"/>
        <w:contextualSpacing/>
        <w:jc w:val="center"/>
        <w:rPr>
          <w:caps/>
        </w:rPr>
      </w:pPr>
      <w:bookmarkStart w:id="0" w:name="_Toc9843513"/>
      <w:r>
        <w:rPr>
          <w:caps/>
        </w:rPr>
        <w:t>Общие положения</w:t>
      </w:r>
      <w:bookmarkEnd w:id="0"/>
    </w:p>
    <w:p>
      <w:pPr>
        <w:pStyle w:val="ListParagraph"/>
        <w:rPr/>
      </w:pPr>
      <w:r>
        <w:rPr/>
      </w:r>
    </w:p>
    <w:p>
      <w:pPr>
        <w:pStyle w:val="Normal"/>
        <w:ind w:firstLine="425"/>
        <w:jc w:val="both"/>
        <w:rPr/>
      </w:pPr>
      <w:r>
        <w:rPr/>
        <w:t>Расположено городское поселение в центральной части Ильинского муниципального района Ивановской области.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>Городское поселение граничит:</w:t>
      </w:r>
    </w:p>
    <w:p>
      <w:pPr>
        <w:pStyle w:val="Normal"/>
        <w:ind w:firstLine="709"/>
        <w:jc w:val="both"/>
        <w:rPr/>
      </w:pPr>
      <w:r>
        <w:rPr/>
        <w:t>на северо-западе с Исаевским сельским поселением;</w:t>
      </w:r>
    </w:p>
    <w:p>
      <w:pPr>
        <w:pStyle w:val="Normal"/>
        <w:ind w:firstLine="709"/>
        <w:jc w:val="both"/>
        <w:rPr/>
      </w:pPr>
      <w:r>
        <w:rPr/>
        <w:t>на северо-востоке с Ивашевским сельским поселением;</w:t>
      </w:r>
    </w:p>
    <w:p>
      <w:pPr>
        <w:pStyle w:val="Normal"/>
        <w:ind w:firstLine="709"/>
        <w:jc w:val="both"/>
        <w:rPr>
          <w:color w:val="000000"/>
        </w:rPr>
      </w:pPr>
      <w:r>
        <w:rPr/>
        <w:t>на юго-западе с Щенниковским сельским поселением;</w:t>
      </w:r>
    </w:p>
    <w:p>
      <w:pPr>
        <w:pStyle w:val="Normal"/>
        <w:ind w:firstLine="709"/>
        <w:jc w:val="both"/>
        <w:rPr>
          <w:color w:val="000000"/>
        </w:rPr>
      </w:pPr>
      <w:r>
        <w:rPr/>
        <w:t>на юго-востоке с Аньковским сельским поселением;</w:t>
      </w:r>
    </w:p>
    <w:p>
      <w:pPr>
        <w:pStyle w:val="Normal"/>
        <w:ind w:firstLine="709"/>
        <w:jc w:val="both"/>
        <w:rPr/>
      </w:pPr>
      <w:r>
        <w:rPr/>
        <w:t>на юге с Ярославской областью.</w:t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709"/>
        <w:jc w:val="both"/>
        <w:rPr>
          <w:color w:val="000000"/>
        </w:rPr>
      </w:pPr>
      <w:r>
        <w:rPr>
          <w:color w:val="000000"/>
        </w:rPr>
        <w:t xml:space="preserve">Ильинское городское поселение образовано </w:t>
      </w:r>
      <w:hyperlink r:id="rId9" w:tgtFrame="25 февраля">
        <w:r>
          <w:rPr>
            <w:color w:val="000000"/>
          </w:rPr>
          <w:t>25 февраля</w:t>
        </w:r>
      </w:hyperlink>
      <w:r>
        <w:rPr>
          <w:color w:val="000000"/>
        </w:rPr>
        <w:t xml:space="preserve"> </w:t>
      </w:r>
      <w:hyperlink r:id="rId10" w:tgtFrame="2005 год">
        <w:r>
          <w:rPr>
            <w:color w:val="000000"/>
          </w:rPr>
          <w:t>2005 года</w:t>
        </w:r>
      </w:hyperlink>
      <w:r>
        <w:rPr>
          <w:color w:val="000000"/>
        </w:rPr>
        <w:t xml:space="preserve"> в соответствии с Законом Ивановской области № 41-ОЗ</w:t>
      </w:r>
      <w:r>
        <w:fldChar w:fldCharType="begin"/>
      </w:r>
      <w:r>
        <w:rPr>
          <w:color w:val="000000"/>
        </w:rPr>
        <w:instrText xml:space="preserve"> HYPERLINK "https://ru.wikipedia.org/wiki/Ильинское_городское_поселение" \l "cite_note-2"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  В его состав вошёл посёлок </w:t>
      </w:r>
      <w:r>
        <w:rPr>
          <w:color w:val="000000"/>
        </w:rPr>
        <w:fldChar w:fldCharType="end"/>
      </w:r>
      <w:hyperlink r:id="rId11" w:tgtFrame="Ильинское-Хованское">
        <w:r>
          <w:rPr>
            <w:color w:val="000000"/>
          </w:rPr>
          <w:t>Ильинское-Хованское</w:t>
        </w:r>
      </w:hyperlink>
      <w:r>
        <w:rPr>
          <w:color w:val="000000"/>
        </w:rPr>
        <w:t xml:space="preserve"> и населённые пункты упразднённых Гарского и Ильинского сельских округов (сельсоветов).</w:t>
      </w:r>
    </w:p>
    <w:p>
      <w:pPr>
        <w:pStyle w:val="Normal"/>
        <w:ind w:firstLine="567"/>
        <w:jc w:val="both"/>
        <w:rPr/>
      </w:pPr>
      <w:r>
        <w:rPr/>
        <w:t>Площадь поселения составляет</w:t>
      </w:r>
      <w:r>
        <w:rPr>
          <w:color w:val="FF0000"/>
        </w:rPr>
        <w:t xml:space="preserve"> </w:t>
      </w:r>
      <w:r>
        <w:rPr/>
        <w:t>21239</w:t>
      </w:r>
      <w:r>
        <w:rPr>
          <w:sz w:val="28"/>
          <w:szCs w:val="28"/>
        </w:rPr>
        <w:t>. га</w:t>
      </w:r>
      <w:r>
        <w:rPr/>
        <w:t>.</w:t>
      </w:r>
    </w:p>
    <w:p>
      <w:pPr>
        <w:pStyle w:val="Normal"/>
        <w:ind w:firstLine="567"/>
        <w:jc w:val="both"/>
        <w:rPr/>
      </w:pPr>
      <w:r>
        <w:rPr/>
        <w:t>Федеральный округ: Центральный</w:t>
      </w:r>
    </w:p>
    <w:p>
      <w:pPr>
        <w:pStyle w:val="Normal"/>
        <w:ind w:firstLine="567"/>
        <w:jc w:val="both"/>
        <w:rPr/>
      </w:pPr>
      <w:r>
        <w:rPr/>
        <w:t xml:space="preserve">Население – </w:t>
      </w:r>
      <w:r>
        <w:rPr>
          <w:rFonts w:cs="Times New Roman"/>
          <w:sz w:val="23"/>
          <w:szCs w:val="23"/>
          <w:lang w:eastAsia="ru-RU"/>
        </w:rPr>
        <w:t>3355</w:t>
      </w:r>
      <w:r>
        <w:rPr/>
        <w:t xml:space="preserve"> человек.(на 01.01.2021)</w:t>
      </w:r>
    </w:p>
    <w:p>
      <w:pPr>
        <w:pStyle w:val="Normal"/>
        <w:ind w:firstLine="567"/>
        <w:jc w:val="both"/>
        <w:rPr/>
      </w:pPr>
      <w:r>
        <w:rPr/>
        <w:t xml:space="preserve">Административный центр — посёлке </w:t>
      </w:r>
      <w:hyperlink r:id="rId12" w:tgtFrame="Ильинское-Хованское">
        <w:r>
          <w:rPr/>
          <w:t>Ильинское-Хованское</w:t>
        </w:r>
      </w:hyperlink>
      <w:r>
        <w:rPr/>
        <w:t>.</w:t>
      </w:r>
    </w:p>
    <w:p>
      <w:pPr>
        <w:pStyle w:val="33"/>
        <w:shd w:val="clear" w:color="auto" w:fill="FFFFFF"/>
        <w:ind w:firstLine="556"/>
        <w:jc w:val="both"/>
        <w:rPr>
          <w:sz w:val="24"/>
          <w:szCs w:val="24"/>
        </w:rPr>
      </w:pPr>
      <w:r>
        <w:rPr>
          <w:rFonts w:eastAsia="Times New Roman" w:cs="Calibri"/>
          <w:sz w:val="24"/>
          <w:szCs w:val="24"/>
        </w:rPr>
        <w:t>Проект Генерального плана сельского поселения Ильинское Ильинского района Ивановской области  (далее Генеральный план) выполнен в двух частях: Часть 1 «Положение о территориальном планировании» (далее - Положение); Часть 2 «Материалы по обоснованию проекта генерального плана».</w:t>
      </w:r>
    </w:p>
    <w:p>
      <w:pPr>
        <w:pStyle w:val="Normal"/>
        <w:ind w:firstLine="556"/>
        <w:jc w:val="both"/>
        <w:rPr/>
      </w:pPr>
      <w:r>
        <w:rPr/>
        <w:t>Проект Генерального плана выполнен в соответствии с требованиями Градостроительного, Земельного, Лесного, Водного кодексов Российской Федерации, Региональными нормативами градостроительного проектирования Ивановской области, иными нормативно-правовыми документами, необходимые для подготовки документации по территориальному планированию.</w:t>
      </w:r>
    </w:p>
    <w:p>
      <w:pPr>
        <w:pStyle w:val="Normal"/>
        <w:tabs>
          <w:tab w:val="clear" w:pos="709"/>
          <w:tab w:val="left" w:pos="1134" w:leader="none"/>
        </w:tabs>
        <w:ind w:firstLine="567"/>
        <w:jc w:val="both"/>
        <w:rPr>
          <w:rFonts w:cs="Times New Roman"/>
          <w:b/>
          <w:b/>
        </w:rPr>
      </w:pPr>
      <w:r>
        <w:rPr>
          <w:rFonts w:cs="Times New Roman"/>
          <w:b/>
        </w:rPr>
      </w:r>
    </w:p>
    <w:p>
      <w:pPr>
        <w:pStyle w:val="Normal"/>
        <w:tabs>
          <w:tab w:val="clear" w:pos="709"/>
          <w:tab w:val="left" w:pos="1134" w:leader="none"/>
        </w:tabs>
        <w:ind w:firstLine="567"/>
        <w:jc w:val="both"/>
        <w:rPr>
          <w:rFonts w:cs="Times New Roman"/>
          <w:b/>
          <w:b/>
        </w:rPr>
      </w:pPr>
      <w:r>
        <w:rPr>
          <w:rFonts w:cs="Times New Roman"/>
          <w:b/>
        </w:rPr>
        <w:t>Основание для разработки проекта:</w:t>
      </w:r>
    </w:p>
    <w:p>
      <w:pPr>
        <w:pStyle w:val="Normal"/>
        <w:ind w:firstLine="567"/>
        <w:jc w:val="both"/>
        <w:rPr/>
      </w:pPr>
      <w:r>
        <w:rPr/>
        <w:t>1. Муниципальный контракт № 06/2022 от «21» марта 2022 г.</w:t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>
          <w:b/>
          <w:b/>
          <w:highlight w:val="yellow"/>
        </w:rPr>
      </w:pPr>
      <w:r>
        <w:rPr>
          <w:b/>
          <w:highlight w:val="yellow"/>
        </w:rPr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>
          <w:b/>
          <w:b/>
        </w:rPr>
      </w:pPr>
      <w:r>
        <w:rPr>
          <w:b/>
        </w:rPr>
        <w:t>Цели Генерального плана: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Целью разработки проектов внесения изменений в генеральные планы является определение назначения территорий исходя из совокупности социальных, экономических, экологических и иных факторов, зон с особыми условиями использования территорий, в целях обеспечения устойчивого развития территории городского поселения, развития инженерной, транспортной и социальной инфраструктур, позволяющего обеспечить комплексное устойчивое развитие планируемой территории с благоприятными условиями жизнедеятельности.</w:t>
      </w:r>
    </w:p>
    <w:p>
      <w:pPr>
        <w:pStyle w:val="Normal"/>
        <w:snapToGrid w:val="false"/>
        <w:ind w:firstLine="567"/>
        <w:jc w:val="both"/>
        <w:rPr/>
      </w:pPr>
      <w:r>
        <w:rPr/>
      </w:r>
    </w:p>
    <w:p>
      <w:pPr>
        <w:pStyle w:val="Normal"/>
        <w:tabs>
          <w:tab w:val="clear" w:pos="709"/>
          <w:tab w:val="left" w:pos="432" w:leader="none"/>
          <w:tab w:val="left" w:pos="1260" w:leader="none"/>
        </w:tabs>
        <w:ind w:firstLine="567"/>
        <w:jc w:val="both"/>
        <w:rPr>
          <w:b/>
          <w:b/>
        </w:rPr>
      </w:pPr>
      <w:r>
        <w:rPr>
          <w:b/>
        </w:rPr>
        <w:t>Задачи Генерального плана: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-приведение описания и отображения объектов местного, федерального и регионального значения и функциональных зон в соответствие с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(утвержденных приказом Минэкономразвития России от 09.01.2018 № 10); 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 установление (изменение) границ населенных пунктов;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-внесение сведений в Единый государственный реестр недвижимости о внесении изменений в ПЗЗ в части установления (изменения) градостроительного регламента, установления (изменения) границ территориальных зон;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-установление границ территориальных зон в соответствии с частью 6.1 статьи 30 Градостроительного кодекса РФ.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-приведение материалов генерального плана поселения в соответствие с требованиями размещения в федеральной государственной информационной системе территориального планирования.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-приведение функционального зонирования в соответствие с фактическим использованием земельных участков;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-определение территории для размещения объектов регионального и местного значения, а также уточнение сведений о видах, назначении и наименованиях планируемых для размещения объектов местного значения, их основных характеристиках, местоположении;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-отображение зон с особыми условиями использования территории, в соответствии со сведениями, содержащимися в Едином государственном реестре недвижимости;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-отображение объектов культурного наследия и их охранных зон;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-отображение границ охраны особо охраняемых природных территорий;</w:t>
      </w:r>
    </w:p>
    <w:p>
      <w:pPr>
        <w:pStyle w:val="33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-отображение в генеральном плане придорожных полос и санитарных разрывов установленных для дорог различных категорий в соответствии с действующим законодательством.</w:t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/>
      </w:pPr>
      <w:r>
        <w:rPr/>
      </w:r>
    </w:p>
    <w:p>
      <w:pPr>
        <w:pStyle w:val="Normal"/>
        <w:tabs>
          <w:tab w:val="clear" w:pos="709"/>
          <w:tab w:val="left" w:pos="432" w:leader="none"/>
        </w:tabs>
        <w:ind w:firstLine="567"/>
        <w:jc w:val="both"/>
        <w:rPr/>
      </w:pPr>
      <w:r>
        <w:rPr/>
        <w:t>В материалах Генерального плана муниципального образования установлены следующие сроки его реализации:</w:t>
      </w:r>
    </w:p>
    <w:p>
      <w:pPr>
        <w:pStyle w:val="16"/>
        <w:shd w:val="clear" w:color="auto" w:fill="auto"/>
        <w:tabs>
          <w:tab w:val="clear" w:pos="709"/>
          <w:tab w:val="left" w:pos="432" w:leader="none"/>
        </w:tabs>
        <w:spacing w:lineRule="auto" w:line="240"/>
        <w:ind w:firstLine="567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исходный год - 202</w:t>
      </w:r>
      <w:r>
        <w:rPr>
          <w:rFonts w:cs="Calibri"/>
          <w:sz w:val="24"/>
          <w:szCs w:val="24"/>
          <w:lang w:eastAsia="ar-SA"/>
        </w:rPr>
        <w:t>3</w:t>
      </w:r>
      <w:r>
        <w:rPr>
          <w:rFonts w:cs="Calibri"/>
          <w:sz w:val="24"/>
          <w:szCs w:val="24"/>
          <w:lang w:eastAsia="ar-SA"/>
        </w:rPr>
        <w:t>г.,</w:t>
      </w:r>
    </w:p>
    <w:p>
      <w:pPr>
        <w:pStyle w:val="16"/>
        <w:shd w:val="clear" w:color="auto" w:fill="auto"/>
        <w:tabs>
          <w:tab w:val="clear" w:pos="709"/>
          <w:tab w:val="left" w:pos="0" w:leader="none"/>
          <w:tab w:val="left" w:pos="432" w:leader="none"/>
        </w:tabs>
        <w:spacing w:lineRule="auto" w:line="240"/>
        <w:ind w:firstLine="567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I этап – 202</w:t>
      </w:r>
      <w:r>
        <w:rPr>
          <w:rFonts w:cs="Calibri"/>
          <w:sz w:val="24"/>
          <w:szCs w:val="24"/>
          <w:lang w:eastAsia="ar-SA"/>
        </w:rPr>
        <w:t>3</w:t>
      </w:r>
      <w:r>
        <w:rPr>
          <w:rFonts w:cs="Calibri"/>
          <w:sz w:val="24"/>
          <w:szCs w:val="24"/>
          <w:lang w:eastAsia="ar-SA"/>
        </w:rPr>
        <w:t>-203</w:t>
      </w:r>
      <w:r>
        <w:rPr>
          <w:rFonts w:cs="Calibri"/>
          <w:sz w:val="24"/>
          <w:szCs w:val="24"/>
          <w:lang w:eastAsia="ar-SA"/>
        </w:rPr>
        <w:t>3</w:t>
      </w:r>
      <w:r>
        <w:rPr>
          <w:rFonts w:cs="Calibri"/>
          <w:sz w:val="24"/>
          <w:szCs w:val="24"/>
          <w:lang w:eastAsia="ar-SA"/>
        </w:rPr>
        <w:t xml:space="preserve"> гг. (первоочередные плановые мероприятия 3-10 лет);</w:t>
      </w:r>
    </w:p>
    <w:p>
      <w:pPr>
        <w:pStyle w:val="16"/>
        <w:shd w:val="clear" w:color="auto" w:fill="auto"/>
        <w:tabs>
          <w:tab w:val="clear" w:pos="709"/>
          <w:tab w:val="left" w:pos="1179" w:leader="none"/>
        </w:tabs>
        <w:spacing w:lineRule="auto" w:line="240"/>
        <w:ind w:firstLine="567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II этап – до 204</w:t>
      </w:r>
      <w:r>
        <w:rPr>
          <w:rFonts w:cs="Calibri"/>
          <w:sz w:val="24"/>
          <w:szCs w:val="24"/>
          <w:lang w:eastAsia="ar-SA"/>
        </w:rPr>
        <w:t>3</w:t>
      </w:r>
      <w:r>
        <w:rPr>
          <w:rFonts w:cs="Calibri"/>
          <w:sz w:val="24"/>
          <w:szCs w:val="24"/>
          <w:lang w:eastAsia="ar-SA"/>
        </w:rPr>
        <w:t xml:space="preserve"> г. (расчетный срок Генерального плана, 20 лет).</w:t>
      </w:r>
    </w:p>
    <w:p>
      <w:pPr>
        <w:pStyle w:val="Normal"/>
        <w:tabs>
          <w:tab w:val="clear" w:pos="709"/>
          <w:tab w:val="left" w:pos="432" w:leader="none"/>
        </w:tabs>
        <w:ind w:left="426" w:firstLine="702"/>
        <w:jc w:val="both"/>
        <w:rPr/>
      </w:pPr>
      <w:r>
        <w:rPr/>
      </w:r>
    </w:p>
    <w:p>
      <w:pPr>
        <w:pStyle w:val="Default"/>
        <w:spacing w:before="0" w:after="0"/>
        <w:ind w:left="284" w:firstLine="567"/>
        <w:contextualSpacing/>
        <w:jc w:val="both"/>
        <w:rPr>
          <w:rFonts w:cs="Calibri"/>
          <w:color w:val="auto"/>
          <w:lang w:eastAsia="ar-SA"/>
        </w:rPr>
      </w:pPr>
      <w:r>
        <w:rPr>
          <w:color w:val="auto"/>
        </w:rPr>
        <w:t xml:space="preserve">При подготовке </w:t>
      </w:r>
      <w:r>
        <w:rPr>
          <w:rFonts w:cs="Calibri"/>
          <w:color w:val="auto"/>
          <w:lang w:eastAsia="ar-SA"/>
        </w:rPr>
        <w:t>Генерального плана муниципального образования было учтено действующее законодательство о градостроительной деятельности, а также положения РНГП Ивановской области.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bCs/>
          <w:color w:val="auto"/>
        </w:rPr>
        <w:t xml:space="preserve">Подготовка Генерального плана </w:t>
      </w:r>
      <w:r>
        <w:rPr>
          <w:color w:val="auto"/>
        </w:rPr>
        <w:t xml:space="preserve">выполнена в соответствии с требованиями, предусмотренными статьями 9, 18, 23 и 24 Градостроительного Кодекса Российской Федерации. </w:t>
      </w:r>
    </w:p>
    <w:p>
      <w:pPr>
        <w:pStyle w:val="16"/>
        <w:shd w:val="clear" w:color="auto" w:fill="auto"/>
        <w:spacing w:lineRule="auto" w:line="240" w:before="0" w:after="0"/>
        <w:ind w:left="284"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Генеральный план </w:t>
      </w:r>
      <w:r>
        <w:rPr>
          <w:sz w:val="24"/>
          <w:szCs w:val="24"/>
        </w:rPr>
        <w:t>выполнен применительно ко всей территории муниципального образования.</w:t>
      </w:r>
    </w:p>
    <w:p>
      <w:pPr>
        <w:pStyle w:val="16"/>
        <w:shd w:val="clear" w:color="auto" w:fill="auto"/>
        <w:spacing w:lineRule="auto" w:line="240" w:before="0" w:after="0"/>
        <w:ind w:left="284" w:firstLine="567"/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Генеральном плане не применяются положения статьи 23 Градостроительного кодекса Российской Федерации в части пункта 4 части 8, </w:t>
      </w:r>
      <w:r>
        <w:rPr>
          <w:sz w:val="24"/>
          <w:szCs w:val="24"/>
        </w:rPr>
        <w:t xml:space="preserve">в связи с тем, что на территории </w:t>
      </w:r>
      <w:r>
        <w:rPr>
          <w:bCs/>
          <w:sz w:val="24"/>
          <w:szCs w:val="24"/>
        </w:rPr>
        <w:t>МО особые экономически зоны отсутствуют.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bCs/>
          <w:color w:val="auto"/>
        </w:rPr>
        <w:t xml:space="preserve">Генеральный план </w:t>
      </w:r>
      <w:r>
        <w:rPr>
          <w:color w:val="auto"/>
        </w:rPr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>
        <w:rPr>
          <w:bCs/>
          <w:color w:val="auto"/>
        </w:rPr>
        <w:t>Ивановской области</w:t>
      </w:r>
      <w:r>
        <w:rPr>
          <w:color w:val="auto"/>
        </w:rPr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При подготовке текстовой части материалов по обоснованию и положения о территориальном планировании </w:t>
      </w:r>
      <w:r>
        <w:rPr>
          <w:bCs/>
          <w:color w:val="auto"/>
        </w:rPr>
        <w:t xml:space="preserve">Генерального плана </w:t>
      </w:r>
      <w:r>
        <w:rPr>
          <w:color w:val="auto"/>
        </w:rPr>
        <w:t xml:space="preserve">были учтены основные положения методических рекомендаций Министерства регионального развития Российской Федерации, утвержденные приказом Министерства регионального развития Российской Федерации от 19 апреля 2013 г. № 169, применительно к проекту Генерального плана.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При подготовке материалов по обоснованию </w:t>
      </w:r>
      <w:r>
        <w:rPr>
          <w:bCs/>
          <w:color w:val="auto"/>
        </w:rPr>
        <w:t xml:space="preserve">Генерального плана </w:t>
      </w:r>
      <w:r>
        <w:rPr>
          <w:color w:val="auto"/>
        </w:rPr>
        <w:t xml:space="preserve"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Министерства регионального развития Российской Федерации от 09 января 2018 г. № 10, в части применения приложения к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 </w:t>
      </w:r>
    </w:p>
    <w:p>
      <w:pPr>
        <w:pStyle w:val="16"/>
        <w:shd w:val="clear" w:color="auto" w:fill="auto"/>
        <w:spacing w:lineRule="auto" w:line="240" w:before="0" w:after="0"/>
        <w:ind w:left="284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>
      <w:pPr>
        <w:pStyle w:val="Normal"/>
        <w:spacing w:before="0" w:after="0"/>
        <w:ind w:left="284" w:firstLine="567"/>
        <w:contextualSpacing/>
        <w:jc w:val="both"/>
        <w:rPr>
          <w:bCs/>
          <w:color w:val="00B0F0"/>
        </w:rPr>
      </w:pPr>
      <w:r>
        <w:rPr>
          <w:bCs/>
          <w:color w:val="00B0F0"/>
        </w:rPr>
      </w:r>
      <w:r>
        <w:br w:type="page"/>
      </w:r>
    </w:p>
    <w:p>
      <w:pPr>
        <w:pStyle w:val="1"/>
        <w:numPr>
          <w:ilvl w:val="0"/>
          <w:numId w:val="1"/>
        </w:numPr>
        <w:spacing w:before="0" w:after="0"/>
        <w:contextualSpacing/>
        <w:jc w:val="center"/>
        <w:rPr>
          <w:caps/>
          <w:lang w:val="ru-RU"/>
        </w:rPr>
      </w:pPr>
      <w:bookmarkStart w:id="1" w:name="_Toc215908055"/>
      <w:r>
        <w:rPr>
          <w:caps/>
          <w:lang w:val="ru-RU"/>
        </w:rPr>
        <w:t xml:space="preserve"> </w:t>
      </w:r>
      <w:bookmarkStart w:id="2" w:name="_Toc9843514"/>
      <w:r>
        <w:rPr>
          <w:caps/>
          <w:lang w:val="ru-RU"/>
        </w:rPr>
        <w:t>Сведения о видах, назначении и наименованиях планируемых для размещения объектов местного значения</w:t>
      </w:r>
      <w:bookmarkEnd w:id="1"/>
      <w:bookmarkEnd w:id="2"/>
    </w:p>
    <w:p>
      <w:pPr>
        <w:pStyle w:val="BodyTextIndent2"/>
        <w:spacing w:lineRule="auto" w:line="240" w:before="0" w:after="120"/>
        <w:ind w:left="284" w:firstLine="567"/>
        <w:contextualSpacing/>
        <w:jc w:val="both"/>
        <w:rPr/>
      </w:pPr>
      <w:r>
        <w:rPr/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 представлены в таблице 2.1.</w:t>
      </w:r>
    </w:p>
    <w:p>
      <w:pPr>
        <w:pStyle w:val="BodyTextIndent2"/>
        <w:spacing w:lineRule="auto" w:line="240" w:before="0" w:after="120"/>
        <w:ind w:left="284" w:firstLine="567"/>
        <w:contextualSpacing/>
        <w:jc w:val="both"/>
        <w:rPr/>
      </w:pPr>
      <w:r>
        <w:rPr/>
        <w:t xml:space="preserve">Обоснование размещения объектов местного значения выполнено в текстовой части Части </w:t>
      </w:r>
      <w:r>
        <w:rPr>
          <w:lang w:val="en-US"/>
        </w:rPr>
        <w:t>II</w:t>
      </w:r>
      <w:r>
        <w:rPr/>
        <w:t xml:space="preserve"> «Материалов по</w:t>
      </w:r>
      <w:bookmarkStart w:id="3" w:name="_Toc224462619"/>
      <w:r>
        <w:rPr/>
        <w:t xml:space="preserve"> обоснованию генерального плана».</w:t>
      </w:r>
    </w:p>
    <w:p>
      <w:pPr>
        <w:pStyle w:val="BodyTextIndent2"/>
        <w:spacing w:lineRule="auto" w:line="240" w:before="0" w:after="120"/>
        <w:ind w:left="284" w:firstLine="567"/>
        <w:contextualSpacing/>
        <w:jc w:val="right"/>
        <w:rPr>
          <w:b/>
          <w:b/>
        </w:rPr>
      </w:pPr>
      <w:r>
        <w:rPr>
          <w:b/>
        </w:rPr>
        <w:t>Таблица 2.1.</w:t>
      </w:r>
    </w:p>
    <w:p>
      <w:pPr>
        <w:pStyle w:val="Normal"/>
        <w:jc w:val="right"/>
        <w:rPr/>
      </w:pPr>
      <w:r>
        <w:rPr/>
        <w:t xml:space="preserve">Перечень планируемых объектов местного значения, </w:t>
      </w:r>
      <w:r>
        <w:rPr>
          <w:bCs/>
        </w:rPr>
        <w:t xml:space="preserve">мест размещения планируемых </w:t>
      </w:r>
      <w:r>
        <w:rPr/>
        <w:t>объектов местного значения</w:t>
      </w:r>
      <w:r>
        <w:rPr>
          <w:bCs/>
        </w:rPr>
        <w:t>, обоснованных для включения в Положение о территориальном планировании</w:t>
      </w:r>
    </w:p>
    <w:tbl>
      <w:tblPr>
        <w:tblW w:w="9746" w:type="dxa"/>
        <w:jc w:val="center"/>
        <w:tblInd w:w="0" w:type="dxa"/>
        <w:tblLayout w:type="fixed"/>
        <w:tblCellMar>
          <w:top w:w="0" w:type="dxa"/>
          <w:left w:w="102" w:type="dxa"/>
          <w:bottom w:w="0" w:type="dxa"/>
          <w:right w:w="102" w:type="dxa"/>
        </w:tblCellMar>
        <w:tblLook w:firstRow="0" w:noVBand="0" w:lastRow="0" w:firstColumn="0" w:lastColumn="0" w:noHBand="0" w:val="0000"/>
      </w:tblPr>
      <w:tblGrid>
        <w:gridCol w:w="551"/>
        <w:gridCol w:w="4848"/>
        <w:gridCol w:w="566"/>
        <w:gridCol w:w="1279"/>
        <w:gridCol w:w="1159"/>
        <w:gridCol w:w="1342"/>
      </w:tblGrid>
      <w:tr>
        <w:trPr>
          <w:tblHeader w:val="true"/>
          <w:trHeight w:val="1960" w:hRule="atLeast"/>
          <w:cantSplit w:val="true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>п/п</w:t>
            </w:r>
          </w:p>
        </w:tc>
        <w:tc>
          <w:tcPr>
            <w:tcW w:w="4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Функциональная зона по генеральному плану МО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Наличие зон с особыми условиями использования территории</w:t>
            </w:r>
          </w:p>
        </w:tc>
      </w:tr>
      <w:tr>
        <w:trPr>
          <w:tblHeader w:val="true"/>
          <w:trHeight w:val="315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6</w:t>
            </w:r>
          </w:p>
        </w:tc>
      </w:tr>
      <w:tr>
        <w:trPr>
          <w:trHeight w:val="315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1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  <w:caps/>
              </w:rPr>
            </w:pPr>
            <w:r>
              <w:rPr>
                <w:b/>
                <w:caps/>
              </w:rPr>
              <w:t>Объекты электро-, тепло-, газо- и водоснабжение населения, водоотведение</w:t>
            </w:r>
          </w:p>
        </w:tc>
      </w:tr>
      <w:tr>
        <w:trPr>
          <w:trHeight w:val="315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  <w:color w:val="FF0000"/>
              </w:rPr>
            </w:pPr>
            <w:r>
              <w:rPr>
                <w:b/>
                <w:color w:val="FF0000"/>
              </w:rPr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Default"/>
              <w:widowControl w:val="false"/>
              <w:jc w:val="both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highlight w:val="yellow"/>
              </w:rPr>
            </w:pPr>
            <w:r>
              <w:rPr>
                <w:b/>
                <w:highlight w:val="yellow"/>
              </w:rPr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1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  <w:caps/>
              </w:rPr>
            </w:pPr>
            <w:r>
              <w:rPr>
                <w:b/>
                <w:caps/>
              </w:rPr>
              <w:t>Автомобильные дороги местного значения</w:t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rFonts w:cs="Times New Roman"/>
                <w:b/>
                <w:b/>
                <w:color w:val="FF0000"/>
              </w:rPr>
            </w:pPr>
            <w:r>
              <w:rPr>
                <w:rFonts w:cs="Times New Roman"/>
                <w:b/>
                <w:color w:val="FF0000"/>
              </w:rPr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-.</w:t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1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  <w:caps/>
              </w:rPr>
            </w:pPr>
            <w:r>
              <w:rPr>
                <w:b/>
                <w:caps/>
              </w:rPr>
              <w:t>Объекты физической культуры и массового спорта, образования, здравоохранения</w:t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3.1</w:t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aps/>
              </w:rPr>
            </w:pPr>
            <w:r>
              <w:rPr>
                <w:b/>
                <w:caps/>
              </w:rPr>
              <w:t>Объекты физической культуры и массового спорта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  <w:highlight w:val="cyan"/>
              </w:rPr>
            </w:pPr>
            <w:r>
              <w:rPr>
                <w:b/>
                <w:highlight w:val="cyan"/>
              </w:rPr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-.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3.2</w:t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rPr>
                <w:b/>
                <w:b/>
              </w:rPr>
            </w:pPr>
            <w:r>
              <w:rPr>
                <w:b/>
                <w:caps/>
              </w:rPr>
              <w:t>Объекты образования</w:t>
            </w:r>
          </w:p>
        </w:tc>
        <w:tc>
          <w:tcPr>
            <w:tcW w:w="56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57" w:right="3" w:hanging="0"/>
              <w:rPr>
                <w:b/>
                <w:b/>
                <w:bCs/>
                <w:caps/>
              </w:rPr>
            </w:pPr>
            <w:r>
              <w:rPr>
                <w:b/>
                <w:bCs/>
                <w:caps/>
              </w:rPr>
              <w:t>Учреждения образования</w:t>
            </w:r>
          </w:p>
          <w:p>
            <w:pPr>
              <w:pStyle w:val="Normal"/>
              <w:widowControl w:val="false"/>
              <w:snapToGrid w:val="false"/>
              <w:ind w:left="-87" w:right="3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-.</w:t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rPr/>
            </w:pPr>
            <w:r>
              <w:rPr>
                <w:b/>
                <w:bCs/>
              </w:rPr>
              <w:t>ДЕТСКИЕ ДОШКОЛЬНЫЕ УЧРЕЖДЕНИЯ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rFonts w:cs="Times New Roman"/>
                <w:color w:val="000000"/>
                <w:lang w:eastAsia="ja-JP" w:bidi="fa-IR"/>
              </w:rPr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-.</w:t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  <w:t>3.3</w:t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57" w:right="3" w:hanging="0"/>
              <w:rPr/>
            </w:pPr>
            <w:r>
              <w:rPr>
                <w:b/>
                <w:caps/>
              </w:rPr>
              <w:t>Объекты здравоохранения</w:t>
            </w:r>
          </w:p>
        </w:tc>
        <w:tc>
          <w:tcPr>
            <w:tcW w:w="56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ConsPlusNormal1"/>
              <w:widowControl w:val="false"/>
              <w:tabs>
                <w:tab w:val="clear" w:pos="709"/>
                <w:tab w:val="center" w:pos="4677" w:leader="none"/>
                <w:tab w:val="right" w:pos="9355" w:leader="none"/>
              </w:tabs>
              <w:ind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>
                <w:b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1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>
                <w:b/>
                <w:caps/>
              </w:rPr>
              <w:t>Объекты в иных областях деятельности, необходимые для осуществления полномочий в связи с решением вопросов местного значения поселения</w:t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  <w:t>4.1</w:t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57" w:right="3" w:hanging="0"/>
              <w:rPr/>
            </w:pPr>
            <w:r>
              <w:rPr>
                <w:b/>
                <w:bCs/>
              </w:rPr>
              <w:t>АДМИНИСТРАТИВНЫЕ ЗДАНИЯ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57" w:right="3" w:hanging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</w:rPr>
            </w:pPr>
            <w:r>
              <w:rPr/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</w:t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4.2</w:t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rPr/>
            </w:pPr>
            <w:r>
              <w:rPr>
                <w:b/>
              </w:rPr>
              <w:t>УЧРЕЖДЕНИЯ КУЛЬТУРЫ И ИСКУССТВА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false"/>
              <w:rPr/>
            </w:pPr>
            <w:r>
              <w:rPr/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rPr/>
            </w:pPr>
            <w:r>
              <w:rPr/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/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highlight w:val="cyan"/>
              </w:rPr>
            </w:pPr>
            <w:r>
              <w:rPr>
                <w:highlight w:val="cyan"/>
              </w:rPr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4.3</w:t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  <w:highlight w:val="cyan"/>
              </w:rPr>
            </w:pPr>
            <w:r>
              <w:rPr>
                <w:b/>
                <w:bCs/>
              </w:rPr>
              <w:t>ПРЕДПРИЯТИЯ ТОРГОВЛИ, ОБЩЕСТВЕННОГО ПИТАНИЯ, БЫТОВОГО И КОММУНАЛЬНОГО ОБСЛУЖИВАНИЯ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</w:tr>
      <w:tr>
        <w:trPr>
          <w:trHeight w:val="300" w:hRule="atLeast"/>
        </w:trPr>
        <w:tc>
          <w:tcPr>
            <w:tcW w:w="551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4848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>
                <w:b/>
                <w:b/>
                <w:highlight w:val="cyan"/>
              </w:rPr>
            </w:pPr>
            <w:r>
              <w:rPr/>
              <w:t>-</w:t>
            </w:r>
          </w:p>
        </w:tc>
        <w:tc>
          <w:tcPr>
            <w:tcW w:w="566" w:type="dxa"/>
            <w:tcBorders>
              <w:left w:val="single" w:sz="2" w:space="0" w:color="000000"/>
              <w:bottom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</w:t>
            </w: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  <w:t>-</w:t>
            </w:r>
          </w:p>
        </w:tc>
        <w:tc>
          <w:tcPr>
            <w:tcW w:w="11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  <w:tc>
          <w:tcPr>
            <w:tcW w:w="13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left="-87" w:right="3" w:hanging="0"/>
              <w:jc w:val="center"/>
              <w:rPr/>
            </w:pPr>
            <w:r>
              <w:rPr/>
            </w:r>
          </w:p>
        </w:tc>
      </w:tr>
    </w:tbl>
    <w:p>
      <w:pPr>
        <w:pStyle w:val="BodyText2"/>
        <w:widowControl w:val="false"/>
        <w:tabs>
          <w:tab w:val="clear" w:pos="709"/>
          <w:tab w:val="left" w:pos="1005" w:leader="none"/>
        </w:tabs>
        <w:ind w:firstLine="567"/>
        <w:rPr>
          <w:color w:val="00B0F0"/>
        </w:rPr>
      </w:pPr>
      <w:r>
        <w:rPr>
          <w:color w:val="00B0F0"/>
        </w:rPr>
        <w:tab/>
      </w:r>
    </w:p>
    <w:p>
      <w:pPr>
        <w:pStyle w:val="2612"/>
        <w:rPr/>
      </w:pPr>
      <w:bookmarkStart w:id="4" w:name="_Toc9843515"/>
      <w:r>
        <w:rPr/>
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</w:r>
      <w:bookmarkEnd w:id="4"/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>
        <w:rPr>
          <w:bCs/>
          <w:color w:val="auto"/>
        </w:rPr>
        <w:t xml:space="preserve">зоны затопления, подтопления, </w:t>
      </w:r>
      <w:r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>
      <w:pPr>
        <w:pStyle w:val="Normal"/>
        <w:spacing w:before="0" w:after="0"/>
        <w:ind w:left="284" w:firstLine="567"/>
        <w:contextualSpacing/>
        <w:jc w:val="both"/>
        <w:rPr>
          <w:b/>
          <w:b/>
        </w:rPr>
      </w:pPr>
      <w:r>
        <w:rPr>
          <w:bCs/>
        </w:rPr>
        <w:t xml:space="preserve">В Генеральном плане </w:t>
      </w:r>
      <w:r>
        <w:rPr/>
        <w:t>учитываются следующие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Федерации:</w:t>
      </w:r>
    </w:p>
    <w:p>
      <w:pPr>
        <w:pStyle w:val="Normal"/>
        <w:spacing w:before="0" w:after="0"/>
        <w:ind w:left="284" w:hanging="0"/>
        <w:contextualSpacing/>
        <w:jc w:val="right"/>
        <w:rPr>
          <w:b/>
          <w:b/>
        </w:rPr>
      </w:pPr>
      <w:r>
        <w:rPr>
          <w:b/>
        </w:rPr>
        <w:t xml:space="preserve">Таблица 2.1.1. </w:t>
      </w:r>
    </w:p>
    <w:p>
      <w:pPr>
        <w:pStyle w:val="Normal"/>
        <w:spacing w:before="0" w:after="0"/>
        <w:ind w:left="284" w:hanging="0"/>
        <w:contextualSpacing/>
        <w:jc w:val="center"/>
        <w:rPr/>
      </w:pPr>
      <w:r>
        <w:rPr/>
        <w:t>Зоны с особыми условиями использования территорий МО</w:t>
      </w:r>
    </w:p>
    <w:tbl>
      <w:tblPr>
        <w:tblStyle w:val="af4"/>
        <w:tblW w:w="9213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18"/>
        <w:gridCol w:w="4994"/>
      </w:tblGrid>
      <w:tr>
        <w:trPr>
          <w:tblHeader w:val="true"/>
        </w:trPr>
        <w:tc>
          <w:tcPr>
            <w:tcW w:w="421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rFonts w:eastAsia="Times New Roman"/>
                <w:b/>
                <w:kern w:val="0"/>
                <w:sz w:val="20"/>
                <w:lang w:val="ru-RU" w:bidi="ar-SA"/>
              </w:rPr>
              <w:t>Вид зон</w:t>
            </w:r>
          </w:p>
        </w:tc>
        <w:tc>
          <w:tcPr>
            <w:tcW w:w="499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rFonts w:eastAsia="Times New Roman"/>
                <w:b/>
                <w:kern w:val="0"/>
                <w:sz w:val="20"/>
                <w:lang w:val="ru-RU" w:bidi="ar-SA"/>
              </w:rPr>
              <w:t>Нормативно-правовое основание установления зоны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Охранные зоны объектов электросетевого хозяйства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Постановление Правительства Российской Федерации от 24.02. 2009 г. №160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Охранные зоны объектов системы газоснабжения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Федеральный закон от 31.03.1999 г.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 xml:space="preserve">№ </w:t>
            </w:r>
            <w:r>
              <w:rPr>
                <w:rFonts w:eastAsia="Times New Roman"/>
                <w:kern w:val="0"/>
                <w:sz w:val="20"/>
                <w:lang w:val="ru-RU" w:bidi="ar-SA"/>
              </w:rPr>
              <w:t>69-ФЗ «О газоснабжении в Российской Федерации»; Постановление Правительства Российской Федерации от 20.11.2000г. № 878 «Об утверждении Правил охраны газораспределительных сетей»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Охранные зоны магистральных трубопроводом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Правила охраны магистральных трубопроводов, утвержденные Минтопэнерго РФ 29.04.1992, Постановлением Госгортехнадзора РФ от 22.04.1992г. № 9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Охранные зоны канализационных систем и сооружений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МДК 3-02.2001. Правила технической эксплуатации систем и сооружений коммунального водоснабжения и канализации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Придорожные полосы автомобильных дорог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Федеральный закон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Приказ Минтранса РФ от 13.01.2010 N 4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"Об установлении и использовании придорожных полос автомобильных дорог федерального значения"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Охранные зоны государственных природных заповедников, национальных парков, природных парков, государственных природных заказников, памятников природы, дендрологических парков и ботанических садов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Федеральный закон от 14.03.1995г. № 33-ФЗ «Об особо охраняемых природных территориях»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Охранные зоны воинских захоронений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Закон РФ от 14.01.1993 г. № 4292-1 «Об увековечении памяти погибших при защите Отечества»</w:t>
            </w:r>
          </w:p>
        </w:tc>
      </w:tr>
      <w:tr>
        <w:trPr>
          <w:trHeight w:val="360" w:hRule="atLeast"/>
        </w:trPr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Водоохранные зоны рек, ручьев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4994" w:type="dxa"/>
            <w:vMerge w:val="restart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Водный кодекс Российской Федерации,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Земельный кодекс Российской Федерации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>
          <w:trHeight w:val="238" w:hRule="atLeast"/>
        </w:trPr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Водоохранные зоны озер, водохранилищ</w:t>
            </w:r>
          </w:p>
        </w:tc>
        <w:tc>
          <w:tcPr>
            <w:tcW w:w="4994" w:type="dxa"/>
            <w:vMerge w:val="continue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>
          <w:trHeight w:val="237" w:hRule="atLeast"/>
        </w:trPr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Прибрежная защитная полоса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4994" w:type="dxa"/>
            <w:vMerge w:val="continue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>
          <w:trHeight w:val="145" w:hRule="atLeast"/>
        </w:trPr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Охранная зона объекта культурного наследия</w:t>
            </w:r>
          </w:p>
        </w:tc>
        <w:tc>
          <w:tcPr>
            <w:tcW w:w="4994" w:type="dxa"/>
            <w:vMerge w:val="restart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Федеральный закон от 25.06.2002г.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№</w:t>
            </w:r>
            <w:r>
              <w:rPr>
                <w:rFonts w:eastAsia="Times New Roman"/>
                <w:kern w:val="0"/>
                <w:sz w:val="20"/>
                <w:lang w:val="ru-RU" w:bidi="ar-SA"/>
              </w:rPr>
              <w:t>73-ФЗ «Об объектах культурного наследия (памятниках истории и культуры) народов Российской Федерации»</w:t>
            </w:r>
          </w:p>
        </w:tc>
      </w:tr>
      <w:tr>
        <w:trPr>
          <w:trHeight w:val="145" w:hRule="atLeast"/>
        </w:trPr>
        <w:tc>
          <w:tcPr>
            <w:tcW w:w="4218" w:type="dxa"/>
            <w:tcBorders/>
          </w:tcPr>
          <w:p>
            <w:pPr>
              <w:pStyle w:val="Default"/>
              <w:widowControl w:val="false"/>
              <w:tabs>
                <w:tab w:val="clear" w:pos="709"/>
                <w:tab w:val="left" w:pos="1263" w:leader="none"/>
              </w:tabs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Зона регулирования застройки и хозяйственной деятельности</w:t>
            </w:r>
          </w:p>
        </w:tc>
        <w:tc>
          <w:tcPr>
            <w:tcW w:w="4994" w:type="dxa"/>
            <w:vMerge w:val="continue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>
          <w:trHeight w:val="145" w:hRule="atLeast"/>
        </w:trPr>
        <w:tc>
          <w:tcPr>
            <w:tcW w:w="4218" w:type="dxa"/>
            <w:tcBorders/>
          </w:tcPr>
          <w:p>
            <w:pPr>
              <w:pStyle w:val="Default"/>
              <w:widowControl w:val="false"/>
              <w:tabs>
                <w:tab w:val="clear" w:pos="709"/>
                <w:tab w:val="left" w:pos="1182" w:leader="none"/>
              </w:tabs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Зона охраняемого природного ландшафта</w:t>
            </w:r>
          </w:p>
        </w:tc>
        <w:tc>
          <w:tcPr>
            <w:tcW w:w="4994" w:type="dxa"/>
            <w:vMerge w:val="continue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Зоны санитарной охраны источников и водопроводов питьевого назначения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Санитарно-защитные зоны предприятий, сооружений и иных объектов I-V классов вредности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СанПиН 2.2.1/2.1.1.1200-03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«Санитарно-защитные зоны и санитарная классификация предприятий, сооружений и иных объектов»</w:t>
            </w:r>
          </w:p>
        </w:tc>
      </w:tr>
      <w:tr>
        <w:trPr/>
        <w:tc>
          <w:tcPr>
            <w:tcW w:w="421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Зоны затопления, подтопления</w:t>
            </w:r>
          </w:p>
        </w:tc>
        <w:tc>
          <w:tcPr>
            <w:tcW w:w="49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both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Водный кодекс Российской Федерации</w:t>
            </w:r>
          </w:p>
        </w:tc>
      </w:tr>
    </w:tbl>
    <w:p>
      <w:pPr>
        <w:pStyle w:val="Normal"/>
        <w:spacing w:before="0" w:after="0"/>
        <w:ind w:left="284" w:firstLine="567"/>
        <w:contextualSpacing/>
        <w:jc w:val="both"/>
        <w:rPr>
          <w:color w:val="00B0F0"/>
          <w:highlight w:val="yellow"/>
        </w:rPr>
      </w:pPr>
      <w:r>
        <w:rPr>
          <w:color w:val="00B0F0"/>
          <w:highlight w:val="yellow"/>
        </w:rPr>
      </w:r>
    </w:p>
    <w:p>
      <w:pPr>
        <w:pStyle w:val="Normal"/>
        <w:spacing w:before="0" w:after="0"/>
        <w:contextualSpacing/>
        <w:rPr/>
      </w:pPr>
      <w:r>
        <w:rPr/>
      </w:r>
      <w:r>
        <w:br w:type="page"/>
      </w:r>
    </w:p>
    <w:p>
      <w:pPr>
        <w:pStyle w:val="1"/>
        <w:numPr>
          <w:ilvl w:val="0"/>
          <w:numId w:val="1"/>
        </w:numPr>
        <w:spacing w:before="0" w:after="0"/>
        <w:contextualSpacing/>
        <w:jc w:val="center"/>
        <w:rPr>
          <w:caps/>
          <w:lang w:val="ru-RU"/>
        </w:rPr>
      </w:pPr>
      <w:bookmarkStart w:id="5" w:name="_Toc9843516"/>
      <w:r>
        <w:rPr>
          <w:caps/>
          <w:lang w:val="ru-RU"/>
        </w:rPr>
        <w:t>Функциональное зонирование территории</w:t>
      </w:r>
      <w:bookmarkEnd w:id="5"/>
    </w:p>
    <w:p>
      <w:pPr>
        <w:pStyle w:val="Normal"/>
        <w:spacing w:before="0" w:after="0"/>
        <w:contextualSpacing/>
        <w:rPr/>
      </w:pPr>
      <w:r>
        <w:rPr/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Согласно пункту 5 статья 1 Градостроительного кодекса Российской Федерации, функциональные зоны - 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Параметры функциональных зон включены в Положение,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отображены на листе 3 Части 1 Положения «Карте функциональных зон».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Целями зонирования являются: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 xml:space="preserve">– </w:t>
      </w:r>
      <w:r>
        <w:rPr/>
        <w:t>обеспечение градостроительными средствами благоприятных условий проживания населения,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 xml:space="preserve">– </w:t>
      </w:r>
      <w:r>
        <w:rPr/>
        <w:t>ограничение вредного воздействия хозяйственной и иной деятельности на окружающую природную среду,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 xml:space="preserve">– </w:t>
      </w:r>
      <w:r>
        <w:rPr/>
        <w:t>рациональное использование ресурсов в интересах настоящего и будущего поколений,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 xml:space="preserve">– </w:t>
      </w:r>
      <w:r>
        <w:rPr/>
        <w:t>формирование содержательной основы для градостроительного зонирования.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устанавливает рамочные условия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>
      <w:pPr>
        <w:pStyle w:val="Style25"/>
        <w:tabs>
          <w:tab w:val="clear" w:pos="709"/>
          <w:tab w:val="decimal" w:pos="0" w:leader="none"/>
        </w:tabs>
        <w:spacing w:before="0" w:after="120"/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>
      <w:pPr>
        <w:pStyle w:val="Normal"/>
        <w:spacing w:before="0" w:after="0"/>
        <w:ind w:left="284" w:firstLine="567"/>
        <w:contextualSpacing/>
        <w:jc w:val="both"/>
        <w:rPr>
          <w:lang w:eastAsia="ru-RU"/>
        </w:rPr>
      </w:pPr>
      <w:r>
        <w:rPr>
          <w:lang w:eastAsia="ru-RU"/>
        </w:rPr>
        <w:t>Общественно-деловые зоны предназначены для преимущественного размещения объектов управления, здравоохранения, культуры, просвещения, связи, торговли, общественного питания, бытового обслуживания, коммерческой деятельности, а также учреждений среднего профессионального и высшего образования, научно-исследовательских, административных учреждений, культовых объектов, центров деловой, финансовой и общественной активности, стоянок автомобильного транспорта и иных зданий.</w:t>
      </w:r>
    </w:p>
    <w:p>
      <w:pPr>
        <w:pStyle w:val="Normal"/>
        <w:spacing w:before="0" w:after="0"/>
        <w:ind w:left="284" w:firstLine="567"/>
        <w:contextualSpacing/>
        <w:jc w:val="both"/>
        <w:rPr>
          <w:lang w:eastAsia="ru-RU"/>
        </w:rPr>
      </w:pPr>
      <w:r>
        <w:rPr>
          <w:lang w:eastAsia="ru-RU"/>
        </w:rPr>
        <w:t>Структура и типология общественных центров обслуживания, объектов в общественно-деловой зоне и видов обслуживания зависит от их размещения в структуре муниципального образования.</w:t>
      </w:r>
    </w:p>
    <w:p>
      <w:pPr>
        <w:pStyle w:val="Style36"/>
        <w:widowControl w:val="false"/>
        <w:suppressAutoHyphens w:val="false"/>
        <w:spacing w:before="0" w:after="0"/>
        <w:ind w:left="284" w:firstLine="567"/>
        <w:contextualSpacing/>
        <w:jc w:val="both"/>
        <w:rPr>
          <w:b w:val="false"/>
          <w:b w:val="false"/>
          <w:sz w:val="24"/>
          <w:lang w:eastAsia="en-US"/>
        </w:rPr>
      </w:pPr>
      <w:r>
        <w:rPr>
          <w:b w:val="false"/>
          <w:sz w:val="24"/>
          <w:lang w:eastAsia="en-US"/>
        </w:rPr>
        <w:t>Производственные зоны выделены с целью развития существующих и планируемых территорий, предназначенных для формирования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связанных непосредственно с обслуживанием производственных и промышленных предприятий и развития инженерной и транспортной инфраструктуры.</w:t>
      </w:r>
    </w:p>
    <w:p>
      <w:pPr>
        <w:pStyle w:val="Style36"/>
        <w:widowControl w:val="false"/>
        <w:suppressAutoHyphens w:val="false"/>
        <w:spacing w:before="0" w:after="0"/>
        <w:ind w:left="284" w:firstLine="567"/>
        <w:contextualSpacing/>
        <w:jc w:val="both"/>
        <w:rPr>
          <w:b w:val="false"/>
          <w:b w:val="false"/>
          <w:sz w:val="24"/>
          <w:lang w:eastAsia="en-US"/>
        </w:rPr>
      </w:pPr>
      <w:r>
        <w:rPr>
          <w:b w:val="false"/>
          <w:sz w:val="24"/>
          <w:lang w:eastAsia="en-US"/>
        </w:rPr>
        <w:t>Реконструкция производственных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>
      <w:pPr>
        <w:pStyle w:val="Normal"/>
        <w:widowControl w:val="false"/>
        <w:spacing w:before="0" w:after="0"/>
        <w:ind w:left="284" w:firstLine="567"/>
        <w:contextualSpacing/>
        <w:jc w:val="both"/>
        <w:rPr>
          <w:lang w:eastAsia="ru-RU"/>
        </w:rPr>
      </w:pPr>
      <w:r>
        <w:rPr>
          <w:lang w:eastAsia="ru-RU"/>
        </w:rPr>
        <w:t>Зоны инженерной и транспортной инфраструктуры предназначены для размещения головных сооружений инженерной инфраструктуры, объектов железнодорожного, внутреннего водного и внешнего автомобильного транспорта, связанных с ними объектов обустройства и обслуживания и их санитарно-защитных зон.</w:t>
      </w:r>
    </w:p>
    <w:p>
      <w:pPr>
        <w:pStyle w:val="Normal"/>
        <w:widowControl w:val="false"/>
        <w:overflowPunct w:val="true"/>
        <w:spacing w:before="0" w:after="0"/>
        <w:ind w:left="284" w:firstLine="567"/>
        <w:contextualSpacing/>
        <w:jc w:val="both"/>
        <w:rPr/>
      </w:pPr>
      <w:r>
        <w:rPr/>
        <w:t>Зона выделена для сохранения сельскохозяйственных угодий на землях населенных пунктов и на территориях муниципального образования для обеспечения условий ведения личных подсобных хозяйств, крестьянско-фермерских хозяйств (КФХ), а также земель занятых объектами сельскохозяйственного назначения для выращивания, производства и первичной переработки сельскохозяйственной продукции, выделенных в целях создания правовых условий градостроительной деятельности в части использования и застройки территории, обеспечивающей развитие соответствующих видов сельскохозяйственной деятельности и объектов, обеспечивающих эту деятельность инфраструктур.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Рекреационная зона, специально выделяемая территория в пригородной местности или в городе, предназначенная для организации мест отдыха населения и включающие в себя парки, сады, городские леса, лесопарки, пляжи, иные объекты. В рекреационные зоны могут включаться особо охраняемые природные территории и природные объекты.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Рекреационные зоны охраняются законодательными актами, согласно которым любая хозяйственная деятельность в них, кроме направленной непосредственно на обеспечение отдыха, запрещается. Рекреационные зоны прежде всего предназначены для отдыха. Это – уголки живой природы, как естественные, так и искусственно созданные.</w:t>
      </w:r>
    </w:p>
    <w:p>
      <w:pPr>
        <w:pStyle w:val="Style25"/>
        <w:tabs>
          <w:tab w:val="clear" w:pos="709"/>
          <w:tab w:val="decimal" w:pos="0" w:leader="none"/>
        </w:tabs>
        <w:spacing w:before="0" w:after="120"/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 xml:space="preserve"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 </w:t>
      </w:r>
    </w:p>
    <w:p>
      <w:pPr>
        <w:pStyle w:val="Style25"/>
        <w:tabs>
          <w:tab w:val="clear" w:pos="709"/>
          <w:tab w:val="decimal" w:pos="0" w:leader="none"/>
        </w:tabs>
        <w:spacing w:before="0" w:after="120"/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>Одним из видов земель особо охраняемых территорий являются земли рекреационного назначения</w:t>
      </w:r>
    </w:p>
    <w:p>
      <w:pPr>
        <w:pStyle w:val="Style25"/>
        <w:tabs>
          <w:tab w:val="clear" w:pos="709"/>
          <w:tab w:val="decimal" w:pos="0" w:leader="none"/>
        </w:tabs>
        <w:spacing w:before="0" w:after="120"/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Земли рекреационного назначения.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 </w:t>
      </w:r>
    </w:p>
    <w:p>
      <w:pPr>
        <w:pStyle w:val="Style25"/>
        <w:tabs>
          <w:tab w:val="clear" w:pos="709"/>
          <w:tab w:val="decimal" w:pos="0" w:leader="none"/>
        </w:tabs>
        <w:spacing w:before="0" w:after="120"/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>На землях рекреационного назначения запрещается деятельность, не соответствующая их целевому назначению.</w:t>
      </w:r>
    </w:p>
    <w:p>
      <w:pPr>
        <w:pStyle w:val="Style25"/>
        <w:tabs>
          <w:tab w:val="clear" w:pos="709"/>
          <w:tab w:val="decimal" w:pos="0" w:leader="none"/>
        </w:tabs>
        <w:spacing w:before="0" w:after="120"/>
        <w:ind w:left="284" w:firstLine="567"/>
        <w:contextualSpacing/>
        <w:jc w:val="both"/>
        <w:rPr/>
      </w:pPr>
      <w:r>
        <w:rPr/>
        <w:t>Зоны специального назначения предназначены для размещения сооружений и комплексов источников водоснабжения, водоотведения, территорий занятые кладбищами, крематориями, скотомогильниками, режимными объектами, свалками бытовых и производственных отходов, городскими котельными и инженерно-распределительными установками, размещение которых может быть обеспечено только путем выделения указанных зон и недопустимо в других территориальных зонах.</w:t>
      </w:r>
    </w:p>
    <w:p>
      <w:pPr>
        <w:pStyle w:val="2612"/>
        <w:rPr/>
      </w:pPr>
      <w:bookmarkStart w:id="6" w:name="_Toc9843517"/>
      <w:r>
        <w:rPr/>
        <w:t>3.1. Состав функциональных зон</w:t>
      </w:r>
      <w:bookmarkEnd w:id="6"/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Генеральным планом муниципального образования определены следующие зоны:</w:t>
      </w:r>
    </w:p>
    <w:tbl>
      <w:tblPr>
        <w:tblW w:w="9639" w:type="dxa"/>
        <w:jc w:val="left"/>
        <w:tblInd w:w="369" w:type="dxa"/>
        <w:tblLayout w:type="fixed"/>
        <w:tblCellMar>
          <w:top w:w="0" w:type="dxa"/>
          <w:left w:w="85" w:type="dxa"/>
          <w:bottom w:w="0" w:type="dxa"/>
          <w:right w:w="85" w:type="dxa"/>
        </w:tblCellMar>
        <w:tblLook w:firstRow="0" w:noVBand="0" w:lastRow="0" w:firstColumn="0" w:lastColumn="0" w:noHBand="0" w:val="0000"/>
      </w:tblPr>
      <w:tblGrid>
        <w:gridCol w:w="1413"/>
        <w:gridCol w:w="4256"/>
        <w:gridCol w:w="2127"/>
        <w:gridCol w:w="1842"/>
      </w:tblGrid>
      <w:tr>
        <w:trPr>
          <w:tblHeader w:val="true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9"/>
              <w:widowControl w:val="false"/>
              <w:spacing w:before="0" w:after="0"/>
              <w:rPr/>
            </w:pPr>
            <w:r>
              <w:rPr/>
              <w:t>Код объекта</w:t>
            </w:r>
          </w:p>
        </w:tc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9"/>
              <w:widowControl w:val="false"/>
              <w:spacing w:before="0" w:after="0"/>
              <w:rPr/>
            </w:pPr>
            <w:r>
              <w:rPr/>
              <w:t>Значение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9"/>
              <w:widowControl w:val="false"/>
              <w:spacing w:before="0" w:after="0"/>
              <w:rPr/>
            </w:pPr>
            <w:r>
              <w:rPr/>
              <w:t>Условные обозначения</w:t>
            </w:r>
          </w:p>
        </w:tc>
      </w:tr>
      <w:tr>
        <w:trPr>
          <w:tblHeader w:val="true"/>
        </w:trPr>
        <w:tc>
          <w:tcPr>
            <w:tcW w:w="1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9"/>
              <w:widowControl w:val="false"/>
              <w:spacing w:before="0" w:after="0"/>
              <w:rPr/>
            </w:pPr>
            <w:r>
              <w:rPr/>
            </w:r>
          </w:p>
        </w:tc>
        <w:tc>
          <w:tcPr>
            <w:tcW w:w="42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Style39"/>
              <w:widowControl w:val="false"/>
              <w:spacing w:before="0" w:after="0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</w:tcPr>
          <w:p>
            <w:pPr>
              <w:pStyle w:val="113"/>
              <w:keepNext w:val="true"/>
              <w:keepLines/>
              <w:widowControl w:val="false"/>
              <w:rPr>
                <w:shd w:fill="FFFFFF" w:val="clear"/>
              </w:rPr>
            </w:pPr>
            <w:r>
              <w:rPr>
                <w:b/>
                <w:shd w:fill="FFFFFF" w:val="clear"/>
              </w:rPr>
              <w:t>существующий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</w:tcPr>
          <w:p>
            <w:pPr>
              <w:pStyle w:val="113"/>
              <w:keepNext w:val="true"/>
              <w:keepLines/>
              <w:widowControl w:val="false"/>
              <w:rPr>
                <w:shd w:fill="FFFFFF" w:val="clear"/>
              </w:rPr>
            </w:pPr>
            <w:r>
              <w:rPr>
                <w:b/>
                <w:shd w:fill="FFFFFF" w:val="clear"/>
              </w:rPr>
              <w:t>планируемый</w:t>
            </w:r>
          </w:p>
        </w:tc>
      </w:tr>
      <w:tr>
        <w:trPr/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b/>
                <w:b/>
                <w:shd w:fill="FFFFFF" w:val="clear"/>
              </w:rPr>
            </w:pPr>
            <w:r>
              <w:rPr>
                <w:b/>
              </w:rPr>
              <w:t>Функциональные зоны</w:t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/>
              <w:t>70101010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rPr/>
            </w:pPr>
            <w:r>
              <w:rPr/>
              <w:t>Жилые зоны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/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8" name="Рисунок 3620" descr="6090101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3620" descr="6090101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widowControl w:val="false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highlight w:val="yellow"/>
              </w:rPr>
            </w:pPr>
            <w:r>
              <w:rPr>
                <w:highlight w:val="yellow"/>
              </w:rPr>
            </w:r>
          </w:p>
          <w:p>
            <w:pPr>
              <w:pStyle w:val="113"/>
              <w:widowControl w:val="false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/>
              <w:t>70101030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rPr/>
            </w:pPr>
            <w:r>
              <w:rPr/>
              <w:t>Общественно-деловые зоны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/>
            </w:pPr>
            <w:r>
              <w:rPr/>
              <w:drawing>
                <wp:inline distT="0" distB="0" distL="0" distR="0">
                  <wp:extent cx="741680" cy="370840"/>
                  <wp:effectExtent l="0" t="0" r="0" b="0"/>
                  <wp:docPr id="9" name="Рисунок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widowControl w:val="false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highlight w:val="yellow"/>
              </w:rPr>
            </w:pPr>
            <w:r>
              <w:rPr>
                <w:highlight w:val="yellow"/>
              </w:rPr>
            </w:r>
          </w:p>
          <w:p>
            <w:pPr>
              <w:pStyle w:val="113"/>
              <w:widowControl w:val="false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/>
              <w:t>70101040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rPr/>
            </w:pPr>
            <w:r>
              <w:rPr/>
              <w:t>Производственные зоны, зоны инженерной и транспортной инфраструктур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/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0" name="Рисунок 3598" descr="609010104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3598" descr="609010104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widowControl w:val="false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/>
              <w:t>70101050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rPr/>
            </w:pPr>
            <w:r>
              <w:rPr/>
              <w:t>Зоны сельскохозяйственного использования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/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1" name="Рисунок 895" descr="609010105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895" descr="609010105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widowControl w:val="false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</w:r>
          </w:p>
          <w:p>
            <w:pPr>
              <w:pStyle w:val="113"/>
              <w:widowControl w:val="false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/>
              <w:t>70101060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rPr/>
            </w:pPr>
            <w:r>
              <w:rPr/>
              <w:t>Зоны рекреационного назначения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/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2" name="Рисунок 883" descr="609010106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883" descr="609010106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3"/>
              <w:widowControl w:val="false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</w:r>
          </w:p>
          <w:p>
            <w:pPr>
              <w:pStyle w:val="113"/>
              <w:widowControl w:val="false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/>
              <w:t>70101070</w:t>
            </w:r>
            <w:r>
              <w:rPr>
                <w:lang w:val="en-US"/>
              </w:rPr>
              <w:t>1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rPr/>
            </w:pPr>
            <w:r>
              <w:rPr/>
              <w:t>Зона кладбищ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/>
            </w:pPr>
            <w:r>
              <w:rPr/>
              <w:object w:dxaOrig="1515" w:dyaOrig="840">
                <v:shapetype id="_x0000_tole_rId18" coordsize="21600,21600" o:spt="ole_rId18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le_rId18" type="_x0000_tole_rId18" style="width:57.75pt;height:32.25pt;mso-wrap-distance-right:0pt" filled="f" o:ole="">
                  <v:imagedata r:id="rId19" o:title=""/>
                </v:shape>
                <o:OLEObject Type="Embed" ProgID="PBrush" ShapeID="ole_rId18" DrawAspect="Content" ObjectID="_69246289" r:id="rId18"/>
              </w:object>
            </w:r>
          </w:p>
          <w:p>
            <w:pPr>
              <w:pStyle w:val="113"/>
              <w:widowControl w:val="false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</w:r>
          </w:p>
          <w:p>
            <w:pPr>
              <w:pStyle w:val="113"/>
              <w:widowControl w:val="false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</w:r>
          </w:p>
        </w:tc>
      </w:tr>
      <w:tr>
        <w:trPr>
          <w:trHeight w:val="680" w:hRule="atLeast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>
                <w:b/>
              </w:rPr>
              <w:t>Поверхностные водные объекты</w:t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/>
              <w:t>70602020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rPr>
                <w:szCs w:val="22"/>
              </w:rPr>
            </w:pPr>
            <w:r>
              <w:rPr>
                <w:szCs w:val="22"/>
              </w:rPr>
              <w:t>Водоток (река, ручей, канал)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  <w:lang w:val="en-US"/>
              </w:rPr>
            </w:pPr>
            <w:r>
              <w:rPr/>
              <w:drawing>
                <wp:inline distT="0" distB="0" distL="0" distR="0">
                  <wp:extent cx="828040" cy="94615"/>
                  <wp:effectExtent l="0" t="0" r="0" b="0"/>
                  <wp:docPr id="13" name="Рисунок 381" descr="0_15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381" descr="0_15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9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  <w:lang w:val="en-US"/>
              </w:rPr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4" name="Рисунок 380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380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/>
              <w:t>706020</w:t>
            </w:r>
            <w:r>
              <w:rPr>
                <w:lang w:val="en-US"/>
              </w:rPr>
              <w:t>3</w:t>
            </w:r>
            <w:r>
              <w:rPr/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rPr>
                <w:szCs w:val="22"/>
              </w:rPr>
            </w:pPr>
            <w:r>
              <w:rPr>
                <w:szCs w:val="22"/>
              </w:rPr>
              <w:t>Водоем (озеро, пруд, обводненный карьер, водохранилище)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5" name="Рисунок 11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1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</w:r>
          </w:p>
        </w:tc>
      </w:tr>
      <w:tr>
        <w:trPr>
          <w:trHeight w:val="680" w:hRule="atLeast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b/>
                <w:b/>
              </w:rPr>
            </w:pPr>
            <w:r>
              <w:rPr>
                <w:b/>
              </w:rPr>
              <w:t>Леса</w:t>
            </w:r>
          </w:p>
        </w:tc>
      </w:tr>
      <w:tr>
        <w:trPr>
          <w:trHeight w:val="680" w:hRule="atLeast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lang w:val="en-US"/>
              </w:rPr>
            </w:pPr>
            <w:r>
              <w:rPr/>
              <w:t>7010106</w:t>
            </w:r>
            <w:r>
              <w:rPr>
                <w:lang w:val="en-US"/>
              </w:rPr>
              <w:t>0</w:t>
            </w:r>
            <w:r>
              <w:rPr/>
              <w:t>5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rPr>
                <w:szCs w:val="22"/>
              </w:rPr>
            </w:pPr>
            <w:r>
              <w:rPr/>
              <w:t>Зона лесного фонда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4"/>
              <w:widowControl w:val="false"/>
              <w:jc w:val="center"/>
              <w:rPr>
                <w:szCs w:val="22"/>
                <w:lang w:val="en-US"/>
              </w:rPr>
            </w:pPr>
            <w:r>
              <w:rPr/>
              <w:drawing>
                <wp:inline distT="0" distB="0" distL="0" distR="0">
                  <wp:extent cx="741680" cy="379730"/>
                  <wp:effectExtent l="0" t="0" r="0" b="0"/>
                  <wp:docPr id="16" name="Рисунок 28" descr="609010106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28" descr="609010106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14"/>
              <w:widowControl w:val="false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EFF" w:val="clear"/>
            <w:vAlign w:val="center"/>
          </w:tcPr>
          <w:p>
            <w:pPr>
              <w:pStyle w:val="113"/>
              <w:widowControl w:val="false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</w:tr>
    </w:tbl>
    <w:p>
      <w:pPr>
        <w:pStyle w:val="2612"/>
        <w:rPr/>
      </w:pPr>
      <w:bookmarkStart w:id="7" w:name="_Toc9843518"/>
      <w:r>
        <w:rPr/>
        <w:t>3.2. Параметры функциональных зон</w:t>
      </w:r>
      <w:bookmarkEnd w:id="7"/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Основными параметрами функциональных зон, на территории </w:t>
      </w:r>
      <w:r>
        <w:rPr>
          <w:bCs/>
          <w:color w:val="auto"/>
        </w:rPr>
        <w:t>МО</w:t>
      </w:r>
      <w:r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(Часть 1).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2) в отношении границ функциональных зон не применяется требование первого абзаца пункта 2 статьи 85 Земельного кодекса Российской Федерации (требование, согласно которому каждый земельный участок должен принадлежать только одной зоне).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участков;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3) факт наличия расхождений между границами функциональных зон и границами территориальных зон, установленных правилами землепользования и застройки, не является требованием о приведении в соответствие указанных границ друг другу.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>
        <w:rPr>
          <w:bCs/>
          <w:color w:val="auto"/>
        </w:rPr>
        <w:t>целесообразность которых следует из Генерального плана</w:t>
      </w:r>
      <w:r>
        <w:rPr>
          <w:color w:val="auto"/>
        </w:rPr>
        <w:t xml:space="preserve">;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4) подготовке документации по планировке территории. 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>
          <w:bCs/>
          <w:iCs/>
        </w:rPr>
        <w:t>Особенности учета границ</w:t>
      </w:r>
      <w:r>
        <w:rPr>
          <w:bCs/>
          <w:i/>
          <w:iCs/>
        </w:rPr>
        <w:t xml:space="preserve"> </w:t>
      </w:r>
      <w:r>
        <w:rPr/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3. Учет границ функциональных зон может осуществляться путем: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– </w:t>
      </w:r>
      <w:r>
        <w:rPr>
          <w:color w:val="auto"/>
        </w:rPr>
        <w:t xml:space="preserve">изменений границ территориальных зон, определенных в картах Правил землепользования и застройки;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– </w:t>
      </w:r>
      <w:r>
        <w:rPr>
          <w:color w:val="auto"/>
        </w:rPr>
        <w:t xml:space="preserve">изменений границ территориальных зон при одновременном изменении (дополнении) состава градостростроительных регламентов и их значений.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bCs/>
          <w:iCs/>
          <w:color w:val="auto"/>
        </w:rPr>
        <w:t>Особенности учета границ</w:t>
      </w:r>
      <w:r>
        <w:rPr>
          <w:bCs/>
          <w:i/>
          <w:iCs/>
          <w:color w:val="auto"/>
        </w:rPr>
        <w:t xml:space="preserve"> </w:t>
      </w:r>
      <w:r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r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  <w:r>
        <w:br w:type="page"/>
      </w:r>
    </w:p>
    <w:p>
      <w:pPr>
        <w:pStyle w:val="1"/>
        <w:numPr>
          <w:ilvl w:val="0"/>
          <w:numId w:val="1"/>
        </w:numPr>
        <w:spacing w:before="0" w:after="0"/>
        <w:contextualSpacing/>
        <w:jc w:val="center"/>
        <w:rPr>
          <w:caps/>
          <w:lang w:val="ru-RU"/>
        </w:rPr>
      </w:pPr>
      <w:r>
        <w:rPr>
          <w:caps/>
          <w:lang w:val="ru-RU"/>
        </w:rPr>
        <w:t xml:space="preserve"> </w:t>
      </w:r>
      <w:bookmarkStart w:id="8" w:name="_Toc9843519"/>
      <w:r>
        <w:rPr>
          <w:caps/>
          <w:lang w:val="ru-RU"/>
        </w:rPr>
        <w:t xml:space="preserve">Сведения о </w:t>
      </w:r>
      <w:bookmarkEnd w:id="3"/>
      <w:r>
        <w:rPr>
          <w:caps/>
          <w:lang w:val="ru-RU"/>
        </w:rPr>
        <w:t>планируемых для размещения в функциональных зонах объектах федерального значения, объектов регионального значения</w:t>
      </w:r>
      <w:bookmarkEnd w:id="8"/>
    </w:p>
    <w:p>
      <w:pPr>
        <w:pStyle w:val="Normal"/>
        <w:spacing w:before="0" w:after="0"/>
        <w:ind w:left="284" w:hanging="0"/>
        <w:contextualSpacing/>
        <w:rPr/>
      </w:pPr>
      <w:r>
        <w:rPr/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Генеральный план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Генерального плана, и которые были учтены при подготовке Генерального плана приведен в таблице 4.1.</w:t>
      </w:r>
    </w:p>
    <w:p>
      <w:pPr>
        <w:pStyle w:val="Normal"/>
        <w:spacing w:before="0" w:after="0"/>
        <w:ind w:left="284" w:firstLine="567"/>
        <w:contextualSpacing/>
        <w:jc w:val="right"/>
        <w:rPr>
          <w:b/>
          <w:b/>
        </w:rPr>
      </w:pPr>
      <w:r>
        <w:rPr>
          <w:b/>
        </w:rPr>
        <w:t>Таблица 4.1.</w:t>
      </w:r>
    </w:p>
    <w:p>
      <w:pPr>
        <w:pStyle w:val="Normal"/>
        <w:spacing w:before="0" w:after="0"/>
        <w:ind w:left="284" w:firstLine="567"/>
        <w:contextualSpacing/>
        <w:jc w:val="center"/>
        <w:rPr/>
      </w:pPr>
      <w:r>
        <w:rPr/>
        <w:t>Перечень документов территориального планирования,</w:t>
      </w:r>
    </w:p>
    <w:p>
      <w:pPr>
        <w:pStyle w:val="Normal"/>
        <w:spacing w:before="0" w:after="0"/>
        <w:ind w:left="284" w:firstLine="567"/>
        <w:contextualSpacing/>
        <w:jc w:val="center"/>
        <w:rPr/>
      </w:pPr>
      <w:r>
        <w:rPr/>
        <w:t>подлежащих учету при подготовке Генерального плана</w:t>
      </w:r>
    </w:p>
    <w:tbl>
      <w:tblPr>
        <w:tblStyle w:val="af4"/>
        <w:tblW w:w="9497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49"/>
        <w:gridCol w:w="3262"/>
        <w:gridCol w:w="3120"/>
        <w:gridCol w:w="2265"/>
      </w:tblGrid>
      <w:tr>
        <w:trPr>
          <w:tblHeader w:val="true"/>
          <w:trHeight w:val="612" w:hRule="atLeast"/>
        </w:trPr>
        <w:tc>
          <w:tcPr>
            <w:tcW w:w="849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п/п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Наименование документов территориального планирования</w:t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Реквизиты утверждения</w:t>
            </w:r>
          </w:p>
        </w:tc>
        <w:tc>
          <w:tcPr>
            <w:tcW w:w="2265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Источник информации</w:t>
            </w:r>
          </w:p>
        </w:tc>
      </w:tr>
      <w:tr>
        <w:trPr>
          <w:trHeight w:val="311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bCs/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</w:t>
            </w:r>
          </w:p>
        </w:tc>
        <w:tc>
          <w:tcPr>
            <w:tcW w:w="8647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Cs/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Документы территориального планирования Российской Федерации</w:t>
            </w:r>
          </w:p>
        </w:tc>
      </w:tr>
      <w:tr>
        <w:trPr>
          <w:trHeight w:val="109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1.1.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24.12.2015 №2659-р</w:t>
            </w:r>
          </w:p>
        </w:tc>
        <w:tc>
          <w:tcPr>
            <w:tcW w:w="2265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300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1.2.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14.10.2015 №2054-р</w:t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932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1.3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здравоохранения</w:t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28.12.2012 №2607-р</w:t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109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1.4.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26.02.2013 №247-р</w:t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109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Cs/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1.5.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01.08.2016 №1634-р</w:t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109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Cs/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1.6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Распоряжение Правительства Российской Федерации от 10.12.2015 №615сс</w:t>
            </w:r>
          </w:p>
        </w:tc>
        <w:tc>
          <w:tcPr>
            <w:tcW w:w="2265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73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2.</w:t>
            </w:r>
          </w:p>
        </w:tc>
        <w:tc>
          <w:tcPr>
            <w:tcW w:w="8647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Документы территориального планирования субъекта Российской Федерации</w:t>
            </w:r>
          </w:p>
        </w:tc>
      </w:tr>
      <w:tr>
        <w:trPr>
          <w:trHeight w:val="871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2.1.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Ивановской области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Постановление Правительства Ивановской области № 224-п от 30.04.2021</w:t>
            </w:r>
          </w:p>
        </w:tc>
        <w:tc>
          <w:tcPr>
            <w:tcW w:w="2265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871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2.2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Ярославской области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постановление Правительства Ярославской области "О внесении изменений в постановление Правительства области от 31.12.2014 № 1435-п" №208-п от 15.04.2021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68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</w:t>
            </w:r>
          </w:p>
        </w:tc>
        <w:tc>
          <w:tcPr>
            <w:tcW w:w="8647" w:type="dxa"/>
            <w:gridSpan w:val="3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left"/>
              <w:rPr>
                <w:rFonts w:cs="Times New Roman"/>
              </w:rPr>
            </w:pPr>
            <w:r>
              <w:rPr>
                <w:rFonts w:eastAsia="Times New Roman" w:cs="Times New Roman"/>
                <w:kern w:val="0"/>
                <w:sz w:val="20"/>
                <w:lang w:val="ru-RU" w:bidi="ar-SA"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3.1</w:t>
            </w:r>
          </w:p>
        </w:tc>
        <w:tc>
          <w:tcPr>
            <w:tcW w:w="326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Схема территориального планирования Ильинского муниципального района</w:t>
            </w:r>
          </w:p>
        </w:tc>
        <w:tc>
          <w:tcPr>
            <w:tcW w:w="3120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Решение №67 от 16.02.2011</w:t>
            </w:r>
          </w:p>
        </w:tc>
        <w:tc>
          <w:tcPr>
            <w:tcW w:w="2265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4.</w:t>
            </w:r>
          </w:p>
        </w:tc>
        <w:tc>
          <w:tcPr>
            <w:tcW w:w="8647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00B0F0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Документы территориального планирования, имеющих общую границу с планируемой территорией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4.1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Генеральный план Исаевского сельского поселения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Об утверждении Генерального плана и Правил землепользования и застройки Исаевского сельского поселения № 115 от 30.10.2012</w:t>
            </w:r>
          </w:p>
        </w:tc>
        <w:tc>
          <w:tcPr>
            <w:tcW w:w="2265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4.2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Генеральный план Ивашевского сельского поселения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Об утверждении генерального плана Ивашевского сельского поселения № 125 от 25.03.2013</w:t>
            </w:r>
          </w:p>
        </w:tc>
        <w:tc>
          <w:tcPr>
            <w:tcW w:w="2265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4.3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Генеральный план Щенниковского сельского поселения Ильинского муниципального района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Об утверждении генерального плана и правил землепользования и застройки Щенниковского сельского поселения № 93 от 23.03.2012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Times New Roman" w:hAnsi="Times New Roman" w:eastAsia="Times New Roman"/>
                <w:kern w:val="0"/>
                <w:sz w:val="20"/>
                <w:lang w:val="ru-RU" w:bidi="ar-SA"/>
              </w:rPr>
            </w:pPr>
            <w:r>
              <w:rPr>
                <w:rFonts w:eastAsia="Times New Roman"/>
                <w:kern w:val="0"/>
                <w:sz w:val="20"/>
                <w:lang w:val="ru-RU" w:bidi="ar-SA"/>
              </w:rPr>
              <w:t>ФГИС ТП https://fgistp.economy.gov.ru/</w:t>
            </w:r>
          </w:p>
        </w:tc>
      </w:tr>
      <w:tr>
        <w:trPr>
          <w:trHeight w:val="453" w:hRule="atLeast"/>
        </w:trPr>
        <w:tc>
          <w:tcPr>
            <w:tcW w:w="849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4.4</w:t>
            </w:r>
          </w:p>
        </w:tc>
        <w:tc>
          <w:tcPr>
            <w:tcW w:w="32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Генеральный план Аньковского сельского поселения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3120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Об утверждении Генерального плана Аньковского сельского поселения Ильинского муниципального района Ивановской области я № 151 от 28.11.2012</w:t>
            </w:r>
          </w:p>
        </w:tc>
        <w:tc>
          <w:tcPr>
            <w:tcW w:w="2265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ФГИС ТП https://fgistp.economy.gov.ru/</w:t>
            </w:r>
          </w:p>
        </w:tc>
      </w:tr>
    </w:tbl>
    <w:p>
      <w:pPr>
        <w:pStyle w:val="Normal"/>
        <w:spacing w:before="0" w:after="0"/>
        <w:ind w:left="284" w:firstLine="567"/>
        <w:contextualSpacing/>
        <w:jc w:val="both"/>
        <w:rPr>
          <w:color w:val="00B0F0"/>
          <w:highlight w:val="yellow"/>
        </w:rPr>
      </w:pPr>
      <w:r>
        <w:rPr>
          <w:color w:val="00B0F0"/>
          <w:highlight w:val="yellow"/>
        </w:rPr>
      </w:r>
      <w:r>
        <w:br w:type="page"/>
      </w:r>
    </w:p>
    <w:p>
      <w:pPr>
        <w:pStyle w:val="Normal"/>
        <w:spacing w:before="0" w:after="0"/>
        <w:ind w:left="284" w:firstLine="709"/>
        <w:contextualSpacing/>
        <w:jc w:val="both"/>
        <w:rPr>
          <w:b/>
          <w:b/>
          <w:color w:val="FF0000"/>
          <w:sz w:val="28"/>
          <w:szCs w:val="28"/>
        </w:rPr>
      </w:pPr>
      <w:bookmarkStart w:id="9" w:name="_Toc9843520"/>
      <w:r>
        <w:rPr>
          <w:b/>
          <w:sz w:val="28"/>
          <w:szCs w:val="28"/>
        </w:rPr>
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</w:r>
      <w:bookmarkEnd w:id="9"/>
      <w:r>
        <w:rPr>
          <w:b/>
          <w:sz w:val="28"/>
          <w:szCs w:val="28"/>
        </w:rPr>
        <w:t xml:space="preserve"> </w:t>
      </w:r>
    </w:p>
    <w:p>
      <w:pPr>
        <w:pStyle w:val="Normal"/>
        <w:spacing w:before="0" w:after="0"/>
        <w:ind w:left="142" w:firstLine="851"/>
        <w:contextualSpacing/>
        <w:jc w:val="both"/>
        <w:rPr/>
      </w:pPr>
      <w:r>
        <w:rPr/>
        <w:t xml:space="preserve">Утвержденные документами территориального планирования Российской Федерации сведения о видах, назначении и наименованиях, планируемых для размещения на территории муниципального образования СП </w:t>
      </w:r>
      <w:r>
        <w:rPr>
          <w:color w:val="000000"/>
        </w:rPr>
        <w:t>Ильинское Ильинского района</w:t>
      </w:r>
      <w:r>
        <w:rPr/>
        <w:t xml:space="preserve"> объектов федерального значения приведены в таблице 4.1.1.</w:t>
      </w:r>
    </w:p>
    <w:p>
      <w:pPr>
        <w:pStyle w:val="Normal"/>
        <w:spacing w:before="0" w:after="0"/>
        <w:ind w:left="284" w:firstLine="567"/>
        <w:contextualSpacing/>
        <w:jc w:val="right"/>
        <w:rPr>
          <w:b/>
          <w:b/>
        </w:rPr>
      </w:pPr>
      <w:r>
        <w:rPr>
          <w:b/>
        </w:rPr>
        <w:t xml:space="preserve">Таблица 4.1.1. </w:t>
      </w:r>
    </w:p>
    <w:p>
      <w:pPr>
        <w:pStyle w:val="Normal"/>
        <w:spacing w:before="0" w:after="0"/>
        <w:ind w:left="284" w:firstLine="567"/>
        <w:contextualSpacing/>
        <w:jc w:val="center"/>
        <w:rPr/>
      </w:pPr>
      <w:r>
        <w:rPr/>
        <w:t>Реестр планируемых для размещения объектов федерального значения</w:t>
      </w:r>
    </w:p>
    <w:tbl>
      <w:tblPr>
        <w:tblStyle w:val="af4"/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14"/>
        <w:gridCol w:w="4288"/>
        <w:gridCol w:w="2412"/>
        <w:gridCol w:w="1982"/>
      </w:tblGrid>
      <w:tr>
        <w:trPr>
          <w:trHeight w:val="611" w:hRule="atLeast"/>
        </w:trPr>
        <w:tc>
          <w:tcPr>
            <w:tcW w:w="81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п/п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b/>
                <w:b/>
                <w:bCs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Планируемое место размещения объекта,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краткие характеристики</w:t>
            </w:r>
          </w:p>
        </w:tc>
        <w:tc>
          <w:tcPr>
            <w:tcW w:w="198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b/>
                <w:b/>
                <w:bCs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Функциональная зона</w:t>
            </w:r>
          </w:p>
        </w:tc>
      </w:tr>
      <w:tr>
        <w:trPr>
          <w:trHeight w:val="289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1.</w:t>
            </w:r>
          </w:p>
        </w:tc>
        <w:tc>
          <w:tcPr>
            <w:tcW w:w="8682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Cs/>
                <w:i/>
                <w:i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</w:tr>
      <w:tr>
        <w:trPr>
          <w:trHeight w:val="610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1.1.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  <w:tr>
        <w:trPr>
          <w:trHeight w:val="611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2.</w:t>
            </w:r>
          </w:p>
        </w:tc>
        <w:tc>
          <w:tcPr>
            <w:tcW w:w="8682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/>
                <w:b/>
                <w:bCs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</w:tr>
      <w:tr>
        <w:trPr>
          <w:trHeight w:val="610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2.1.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  <w:tr>
        <w:trPr>
          <w:trHeight w:val="290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3.</w:t>
            </w:r>
          </w:p>
        </w:tc>
        <w:tc>
          <w:tcPr>
            <w:tcW w:w="8682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Cs/>
                <w:i/>
                <w:i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здравоохранения</w:t>
            </w:r>
          </w:p>
        </w:tc>
      </w:tr>
      <w:tr>
        <w:trPr>
          <w:trHeight w:val="127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3.1.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  <w:tr>
        <w:trPr>
          <w:trHeight w:val="127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4.</w:t>
            </w:r>
          </w:p>
        </w:tc>
        <w:tc>
          <w:tcPr>
            <w:tcW w:w="8682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Cs/>
                <w:i/>
                <w:i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</w:tr>
      <w:tr>
        <w:trPr>
          <w:trHeight w:val="127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4.1.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  <w:tr>
        <w:trPr>
          <w:trHeight w:val="127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bCs/>
                <w:color w:val="auto"/>
                <w:kern w:val="0"/>
                <w:lang w:val="ru-RU" w:eastAsia="ru-RU" w:bidi="ar-SA"/>
              </w:rPr>
              <w:t>5.</w:t>
            </w:r>
          </w:p>
        </w:tc>
        <w:tc>
          <w:tcPr>
            <w:tcW w:w="8682" w:type="dxa"/>
            <w:gridSpan w:val="3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Cs/>
                <w:i/>
                <w:i/>
                <w:color w:val="auto"/>
              </w:rPr>
            </w:pPr>
            <w:r>
              <w:rPr>
                <w:rFonts w:eastAsia="Times New Roman" w:cs="Times New Roman"/>
                <w:bCs/>
                <w:i/>
                <w:color w:val="auto"/>
                <w:kern w:val="0"/>
                <w:lang w:val="ru-RU" w:eastAsia="ru-RU" w:bidi="ar-SA"/>
              </w:rPr>
              <w:t>Схема территориального планирования Российской Федерации в энергетики</w:t>
            </w:r>
          </w:p>
        </w:tc>
      </w:tr>
      <w:tr>
        <w:trPr>
          <w:trHeight w:val="127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5.1.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</w:tbl>
    <w:p>
      <w:pPr>
        <w:pStyle w:val="26"/>
        <w:rPr/>
      </w:pPr>
      <w:bookmarkStart w:id="10" w:name="_Toc9843521"/>
      <w:r>
        <w:rPr/>
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</w:r>
      <w:bookmarkEnd w:id="10"/>
      <w:r>
        <w:rPr/>
        <w:t xml:space="preserve"> 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/>
        <w:t xml:space="preserve">Утвержденные документами территориального планирования Ивановской области сведения о видах, назначении и наименованиях планируемых для размещения на территории муниципального образования СП </w:t>
      </w:r>
      <w:r>
        <w:rPr>
          <w:color w:val="000000"/>
        </w:rPr>
        <w:t>Ильинское Ильинского района</w:t>
      </w:r>
      <w:r>
        <w:rPr/>
        <w:t xml:space="preserve"> объектов регионального значения приведены в таблице 4.2.1.</w:t>
      </w:r>
    </w:p>
    <w:p>
      <w:pPr>
        <w:pStyle w:val="Normal"/>
        <w:spacing w:before="0" w:after="0"/>
        <w:ind w:left="284" w:firstLine="567"/>
        <w:contextualSpacing/>
        <w:jc w:val="right"/>
        <w:rPr>
          <w:b/>
          <w:b/>
        </w:rPr>
      </w:pPr>
      <w:r>
        <w:rPr>
          <w:b/>
        </w:rPr>
        <w:t>Таблица 4.2.1.</w:t>
      </w:r>
    </w:p>
    <w:p>
      <w:pPr>
        <w:pStyle w:val="Normal"/>
        <w:spacing w:before="0" w:after="0"/>
        <w:ind w:left="284" w:firstLine="567"/>
        <w:contextualSpacing/>
        <w:jc w:val="center"/>
        <w:rPr/>
      </w:pPr>
      <w:r>
        <w:rPr/>
        <w:t>Реестр планируемых для размещения объектов регионального значения</w:t>
      </w:r>
    </w:p>
    <w:tbl>
      <w:tblPr>
        <w:tblStyle w:val="af4"/>
        <w:tblW w:w="9497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14"/>
        <w:gridCol w:w="4288"/>
        <w:gridCol w:w="2412"/>
        <w:gridCol w:w="1982"/>
      </w:tblGrid>
      <w:tr>
        <w:trPr>
          <w:trHeight w:val="611" w:hRule="atLeast"/>
        </w:trPr>
        <w:tc>
          <w:tcPr>
            <w:tcW w:w="81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34" w:hanging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п/п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b/>
                <w:b/>
                <w:bCs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Планируемое место размещения объекта,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b/>
                <w:b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краткие характеристики</w:t>
            </w:r>
          </w:p>
        </w:tc>
        <w:tc>
          <w:tcPr>
            <w:tcW w:w="198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b/>
                <w:b/>
                <w:bCs/>
                <w:color w:val="auto"/>
              </w:rPr>
            </w:pPr>
            <w:r>
              <w:rPr>
                <w:rFonts w:eastAsia="Times New Roman" w:cs="Times New Roman"/>
                <w:b/>
                <w:bCs/>
                <w:color w:val="auto"/>
                <w:kern w:val="0"/>
                <w:lang w:val="ru-RU" w:eastAsia="ru-RU" w:bidi="ar-SA"/>
              </w:rPr>
              <w:t>Функциональная зона/категория земель</w:t>
            </w:r>
          </w:p>
        </w:tc>
      </w:tr>
      <w:tr>
        <w:trPr>
          <w:trHeight w:val="409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3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1.</w:t>
            </w:r>
          </w:p>
        </w:tc>
        <w:tc>
          <w:tcPr>
            <w:tcW w:w="8682" w:type="dxa"/>
            <w:gridSpan w:val="3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/>
                <w:b/>
                <w:i/>
                <w:i/>
                <w:color w:val="auto"/>
              </w:rPr>
            </w:pPr>
            <w:r>
              <w:rPr>
                <w:rFonts w:eastAsia="Times New Roman" w:cs="Times New Roman"/>
                <w:b/>
                <w:i/>
                <w:color w:val="auto"/>
                <w:kern w:val="0"/>
                <w:lang w:val="ru-RU" w:eastAsia="ru-RU" w:bidi="ar-SA"/>
              </w:rPr>
              <w:t>Особо охраняемые природные территории</w:t>
            </w:r>
          </w:p>
        </w:tc>
      </w:tr>
      <w:tr>
        <w:trPr>
          <w:trHeight w:val="610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3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1.1.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-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  <w:tr>
        <w:trPr>
          <w:trHeight w:val="610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3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</w:t>
            </w:r>
          </w:p>
        </w:tc>
        <w:tc>
          <w:tcPr>
            <w:tcW w:w="4288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b/>
                <w:b/>
                <w:i/>
                <w:i/>
                <w:color w:val="auto"/>
              </w:rPr>
            </w:pPr>
            <w:r>
              <w:rPr>
                <w:rFonts w:eastAsia="Times New Roman" w:cs="Times New Roman"/>
                <w:b/>
                <w:i/>
                <w:color w:val="auto"/>
                <w:kern w:val="0"/>
                <w:lang w:val="ru-RU" w:eastAsia="ru-RU" w:bidi="ar-SA"/>
              </w:rPr>
              <w:t>Объекты культурного наследия</w:t>
            </w:r>
          </w:p>
        </w:tc>
        <w:tc>
          <w:tcPr>
            <w:tcW w:w="241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  <w:tr>
        <w:trPr>
          <w:trHeight w:val="610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3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2.1.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-</w:t>
            </w:r>
          </w:p>
        </w:tc>
      </w:tr>
      <w:tr>
        <w:trPr>
          <w:trHeight w:val="610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3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</w:t>
            </w:r>
          </w:p>
        </w:tc>
        <w:tc>
          <w:tcPr>
            <w:tcW w:w="8682" w:type="dxa"/>
            <w:gridSpan w:val="3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contextualSpacing/>
              <w:jc w:val="left"/>
              <w:rPr>
                <w:i/>
                <w:i/>
                <w:color w:val="auto"/>
              </w:rPr>
            </w:pPr>
            <w:r>
              <w:rPr>
                <w:rFonts w:eastAsia="Times New Roman" w:cs="Times New Roman"/>
                <w:b/>
                <w:i/>
                <w:color w:val="auto"/>
                <w:kern w:val="0"/>
                <w:lang w:val="ru-RU" w:eastAsia="ru-RU" w:bidi="ar-SA"/>
              </w:rPr>
              <w:t>Объекты капитального строительства</w:t>
            </w:r>
          </w:p>
        </w:tc>
      </w:tr>
      <w:tr>
        <w:trPr>
          <w:trHeight w:val="610" w:hRule="atLeast"/>
        </w:trPr>
        <w:tc>
          <w:tcPr>
            <w:tcW w:w="814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3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3.1.</w:t>
            </w:r>
          </w:p>
        </w:tc>
        <w:tc>
          <w:tcPr>
            <w:tcW w:w="428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left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Не устанавливается</w:t>
            </w:r>
          </w:p>
        </w:tc>
        <w:tc>
          <w:tcPr>
            <w:tcW w:w="1982" w:type="dxa"/>
            <w:tcBorders/>
            <w:vAlign w:val="center"/>
          </w:tcPr>
          <w:p>
            <w:pPr>
              <w:pStyle w:val="Default"/>
              <w:widowControl w:val="false"/>
              <w:suppressAutoHyphens w:val="true"/>
              <w:spacing w:before="0" w:after="0"/>
              <w:ind w:left="284" w:hanging="0"/>
              <w:contextualSpacing/>
              <w:jc w:val="center"/>
              <w:rPr>
                <w:color w:val="auto"/>
              </w:rPr>
            </w:pPr>
            <w:r>
              <w:rPr>
                <w:rFonts w:eastAsia="Times New Roman" w:cs="Times New Roman"/>
                <w:color w:val="auto"/>
                <w:kern w:val="0"/>
                <w:lang w:val="ru-RU" w:eastAsia="ru-RU" w:bidi="ar-SA"/>
              </w:rPr>
              <w:t>-</w:t>
            </w:r>
          </w:p>
        </w:tc>
      </w:tr>
    </w:tbl>
    <w:p>
      <w:pPr>
        <w:pStyle w:val="26"/>
        <w:rPr/>
      </w:pPr>
      <w:bookmarkStart w:id="11" w:name="_Toc9843522"/>
      <w:r>
        <w:rPr/>
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</w:r>
      <w:bookmarkEnd w:id="11"/>
    </w:p>
    <w:p>
      <w:pPr>
        <w:pStyle w:val="Default"/>
        <w:spacing w:before="0" w:after="0"/>
        <w:ind w:left="284" w:firstLine="567"/>
        <w:contextualSpacing/>
        <w:jc w:val="both"/>
        <w:rPr>
          <w:color w:val="auto"/>
        </w:rPr>
      </w:pPr>
      <w:bookmarkStart w:id="12" w:name="_Toc224462620"/>
      <w:bookmarkStart w:id="13" w:name="_Toc215908062"/>
      <w:bookmarkEnd w:id="12"/>
      <w:bookmarkEnd w:id="13"/>
      <w:r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>
        <w:rPr>
          <w:bCs/>
          <w:color w:val="auto"/>
        </w:rPr>
        <w:t xml:space="preserve">зоны затопления, подтопления, </w:t>
      </w:r>
      <w:r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>
      <w:pPr>
        <w:pStyle w:val="Normal"/>
        <w:spacing w:before="0" w:after="0"/>
        <w:ind w:left="284" w:firstLine="567"/>
        <w:contextualSpacing/>
        <w:jc w:val="both"/>
        <w:rPr/>
      </w:pPr>
      <w:r>
        <w:rPr>
          <w:bCs/>
        </w:rPr>
        <w:t xml:space="preserve">В Генеральном плане </w:t>
      </w:r>
      <w:r>
        <w:rPr/>
        <w:t>учитываются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Федерации. Зоны с особыми условиями использования территорий МО отражены в таблице 2.1.1.</w:t>
      </w:r>
      <w:r>
        <w:br w:type="page"/>
      </w:r>
    </w:p>
    <w:p>
      <w:pPr>
        <w:pStyle w:val="Normal"/>
        <w:spacing w:before="0" w:after="0"/>
        <w:ind w:left="284" w:firstLine="567"/>
        <w:contextualSpacing/>
        <w:jc w:val="both"/>
        <w:rPr>
          <w:b/>
          <w:b/>
          <w:bCs/>
          <w:highlight w:val="yellow"/>
        </w:rPr>
      </w:pPr>
      <w:r>
        <w:rPr>
          <w:b/>
          <w:bCs/>
          <w:highlight w:val="yellow"/>
        </w:rPr>
      </w:r>
    </w:p>
    <w:p>
      <w:pPr>
        <w:pStyle w:val="1"/>
        <w:numPr>
          <w:ilvl w:val="0"/>
          <w:numId w:val="1"/>
        </w:numPr>
        <w:spacing w:before="0" w:after="0"/>
        <w:contextualSpacing/>
        <w:jc w:val="center"/>
        <w:rPr>
          <w:caps/>
          <w:lang w:val="ru-RU"/>
        </w:rPr>
      </w:pPr>
      <w:bookmarkStart w:id="14" w:name="_Toc9843523"/>
      <w:bookmarkStart w:id="15" w:name="_Toc2244626201"/>
      <w:bookmarkStart w:id="16" w:name="_Toc2159080621"/>
      <w:bookmarkEnd w:id="15"/>
      <w:bookmarkEnd w:id="16"/>
      <w:r>
        <w:rPr>
          <w:caps/>
          <w:lang w:val="ru-RU"/>
        </w:rPr>
        <w:t xml:space="preserve">Состав графической части (Часть </w:t>
      </w:r>
      <w:r>
        <w:rPr>
          <w:caps/>
        </w:rPr>
        <w:t>I</w:t>
      </w:r>
      <w:r>
        <w:rPr>
          <w:caps/>
          <w:lang w:val="ru-RU"/>
        </w:rPr>
        <w:t>)</w:t>
      </w:r>
      <w:bookmarkEnd w:id="14"/>
    </w:p>
    <w:p>
      <w:pPr>
        <w:pStyle w:val="Normal"/>
        <w:spacing w:before="0" w:after="0"/>
        <w:contextualSpacing/>
        <w:rPr/>
      </w:pPr>
      <w:r>
        <w:rPr/>
      </w:r>
    </w:p>
    <w:p>
      <w:pPr>
        <w:pStyle w:val="Normal"/>
        <w:spacing w:before="0" w:after="0"/>
        <w:ind w:left="284" w:hanging="0"/>
        <w:contextualSpacing/>
        <w:jc w:val="both"/>
        <w:rPr/>
      </w:pPr>
      <w:r>
        <w:rPr/>
        <w:t>Лист 1. Карта планируемого размещения объектов местного значения поселения, М 1:16 000.</w:t>
      </w:r>
    </w:p>
    <w:p>
      <w:pPr>
        <w:pStyle w:val="Normal"/>
        <w:spacing w:before="0" w:after="0"/>
        <w:ind w:left="284" w:hanging="0"/>
        <w:contextualSpacing/>
        <w:jc w:val="both"/>
        <w:rPr/>
      </w:pPr>
      <w:r>
        <w:rPr/>
        <w:t>Лист 2. Карта границ населенных пунктов (в том числе границ образуемых населенных пунктов), М 1: 16 000.</w:t>
      </w:r>
    </w:p>
    <w:p>
      <w:pPr>
        <w:pStyle w:val="Normal"/>
        <w:spacing w:before="0" w:after="0"/>
        <w:ind w:left="284" w:hanging="0"/>
        <w:contextualSpacing/>
        <w:jc w:val="both"/>
        <w:rPr/>
      </w:pPr>
      <w:r>
        <w:rPr/>
        <w:t>Лист 3. Карта функциональных зон, М 1: 16 000.</w:t>
      </w:r>
    </w:p>
    <w:p>
      <w:pPr>
        <w:pStyle w:val="Normal"/>
        <w:spacing w:before="0" w:after="0"/>
        <w:contextualSpacing/>
        <w:jc w:val="both"/>
        <w:rPr>
          <w:color w:val="00B0F0"/>
        </w:rPr>
      </w:pPr>
      <w:r>
        <w:rPr>
          <w:color w:val="00B0F0"/>
        </w:rPr>
      </w:r>
    </w:p>
    <w:p>
      <w:pPr>
        <w:pStyle w:val="Normal"/>
        <w:spacing w:before="0" w:after="0"/>
        <w:contextualSpacing/>
        <w:jc w:val="both"/>
        <w:rPr>
          <w:color w:val="00B0F0"/>
        </w:rPr>
      </w:pPr>
      <w:r>
        <w:rPr>
          <w:color w:val="00B0F0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ind w:right="-58" w:hanging="0"/>
        <w:contextualSpacing/>
        <w:jc w:val="center"/>
        <w:rPr>
          <w:color w:val="000000"/>
          <w:sz w:val="28"/>
          <w:szCs w:val="28"/>
        </w:rPr>
      </w:pPr>
      <w:r>
        <w:rPr/>
      </w:r>
      <w:bookmarkStart w:id="17" w:name="_GoBack"/>
      <w:bookmarkStart w:id="18" w:name="_GoBack"/>
      <w:bookmarkEnd w:id="18"/>
    </w:p>
    <w:sectPr>
      <w:headerReference w:type="default" r:id="rId24"/>
      <w:footerReference w:type="default" r:id="rId25"/>
      <w:type w:val="nextPage"/>
      <w:pgSz w:w="11906" w:h="16838"/>
      <w:pgMar w:left="1418" w:right="851" w:gutter="0" w:header="567" w:top="624" w:footer="454" w:bottom="51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ucida Sans Unicode">
    <w:charset w:val="cc"/>
    <w:family w:val="roman"/>
    <w:pitch w:val="variable"/>
  </w:font>
  <w:font w:name="Impact">
    <w:charset w:val="cc"/>
    <w:family w:val="roman"/>
    <w:pitch w:val="variable"/>
  </w:font>
  <w:font w:name="Century Gothic">
    <w:charset w:val="cc"/>
    <w:family w:val="roman"/>
    <w:pitch w:val="variable"/>
  </w:font>
  <w:font w:name="Arial Black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19247958"/>
    </w:sdtPr>
    <w:sdtContent>
      <w:p>
        <w:pPr>
          <w:pStyle w:val="Style31"/>
          <w:jc w:val="right"/>
          <w:rPr/>
        </w:pPr>
        <w:r>
          <w:rPr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4">
              <wp:simplePos x="0" y="0"/>
              <wp:positionH relativeFrom="column">
                <wp:posOffset>-64770</wp:posOffset>
              </wp:positionH>
              <wp:positionV relativeFrom="paragraph">
                <wp:posOffset>-170180</wp:posOffset>
              </wp:positionV>
              <wp:extent cx="6659880" cy="10259695"/>
              <wp:effectExtent l="635" t="635" r="635" b="635"/>
              <wp:wrapNone/>
              <wp:docPr id="2" name="Фигур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0" cy="10259640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Фигура1" path="m0,0l-2147483645,0l-2147483645,-2147483646l0,-2147483646xe" stroked="t" o:allowincell="f" style="position:absolute;margin-left:-5.1pt;margin-top:-13.4pt;width:524.35pt;height:807.8pt;mso-wrap-style:none;v-text-anchor:middle">
              <v:fill o:detectmouseclick="t" on="false"/>
              <v:stroke color="black" joinstyle="round" endcap="flat"/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  <mc:AlternateContent>
        <mc:Choice Requires="wps">
          <w:drawing>
            <wp:anchor behindDoc="1" distT="22225" distB="22225" distL="22225" distR="22225" simplePos="0" locked="0" layoutInCell="0" allowOverlap="1" relativeHeight="5">
              <wp:simplePos x="0" y="0"/>
              <wp:positionH relativeFrom="column">
                <wp:posOffset>-41910</wp:posOffset>
              </wp:positionH>
              <wp:positionV relativeFrom="paragraph">
                <wp:posOffset>697865</wp:posOffset>
              </wp:positionV>
              <wp:extent cx="6378575" cy="9407525"/>
              <wp:effectExtent l="22225" t="22225" r="22225" b="22225"/>
              <wp:wrapNone/>
              <wp:docPr id="3" name="Фигур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78480" cy="9407520"/>
                      </a:xfrm>
                      <a:prstGeom prst="rect">
                        <a:avLst/>
                      </a:prstGeom>
                      <a:noFill/>
                      <a:ln w="44280">
                        <a:solidFill>
                          <a:srgbClr val="17365d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Фигура2" path="m0,0l-2147483645,0l-2147483645,-2147483646l0,-2147483646xe" stroked="t" o:allowincell="f" style="position:absolute;margin-left:-3.3pt;margin-top:54.95pt;width:502.2pt;height:740.7pt;mso-wrap-style:none;v-text-anchor:middle">
              <v:fill o:detectmouseclick="t" on="false"/>
              <v:stroke color="#17365d" weight="44280" joinstyle="round" endcap="flat"/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embedSystemFonts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f712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auto"/>
      <w:kern w:val="0"/>
      <w:sz w:val="24"/>
      <w:szCs w:val="24"/>
      <w:lang w:val="ru-RU" w:eastAsia="ar-SA" w:bidi="ar-SA"/>
    </w:rPr>
  </w:style>
  <w:style w:type="paragraph" w:styleId="1">
    <w:name w:val="Heading 1"/>
    <w:basedOn w:val="Normal"/>
    <w:next w:val="Normal"/>
    <w:qFormat/>
    <w:rsid w:val="004f712f"/>
    <w:pPr>
      <w:keepNext w:val="true"/>
      <w:tabs>
        <w:tab w:val="clear" w:pos="709"/>
        <w:tab w:val="left" w:pos="432" w:leader="none"/>
        <w:tab w:val="left" w:pos="851" w:leader="none"/>
        <w:tab w:val="left" w:pos="993" w:leader="none"/>
        <w:tab w:val="left" w:pos="2127" w:leader="none"/>
      </w:tabs>
      <w:ind w:left="432" w:hanging="432"/>
      <w:jc w:val="both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Normal"/>
    <w:next w:val="Normal"/>
    <w:link w:val="22"/>
    <w:semiHidden/>
    <w:unhideWhenUsed/>
    <w:qFormat/>
    <w:rsid w:val="005d3bad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next w:val="Normal"/>
    <w:link w:val="31"/>
    <w:unhideWhenUsed/>
    <w:qFormat/>
    <w:rsid w:val="00a14440"/>
    <w:pPr>
      <w:keepNext w:val="true"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sid w:val="004f712f"/>
    <w:rPr>
      <w:rFonts w:ascii="Courier New" w:hAnsi="Courier New"/>
    </w:rPr>
  </w:style>
  <w:style w:type="character" w:styleId="AbsatzStandardschriftart" w:customStyle="1">
    <w:name w:val="Absatz-Standardschriftart"/>
    <w:qFormat/>
    <w:rsid w:val="004f712f"/>
    <w:rPr/>
  </w:style>
  <w:style w:type="character" w:styleId="WWAbsatzStandardschriftart" w:customStyle="1">
    <w:name w:val="WW-Absatz-Standardschriftart"/>
    <w:qFormat/>
    <w:rsid w:val="004f712f"/>
    <w:rPr/>
  </w:style>
  <w:style w:type="character" w:styleId="WWAbsatzStandardschriftart1" w:customStyle="1">
    <w:name w:val="WW-Absatz-Standardschriftart1"/>
    <w:qFormat/>
    <w:rsid w:val="004f712f"/>
    <w:rPr/>
  </w:style>
  <w:style w:type="character" w:styleId="WW8Num4z0" w:customStyle="1">
    <w:name w:val="WW8Num4z0"/>
    <w:qFormat/>
    <w:rsid w:val="004f712f"/>
    <w:rPr>
      <w:rFonts w:ascii="Times New Roman" w:hAnsi="Times New Roman" w:cs="Times New Roman"/>
    </w:rPr>
  </w:style>
  <w:style w:type="character" w:styleId="WW8Num6z0" w:customStyle="1">
    <w:name w:val="WW8Num6z0"/>
    <w:qFormat/>
    <w:rsid w:val="004f712f"/>
    <w:rPr>
      <w:rFonts w:ascii="Courier New" w:hAnsi="Courier New"/>
    </w:rPr>
  </w:style>
  <w:style w:type="character" w:styleId="WW8Num6z2" w:customStyle="1">
    <w:name w:val="WW8Num6z2"/>
    <w:qFormat/>
    <w:rsid w:val="004f712f"/>
    <w:rPr>
      <w:rFonts w:ascii="Wingdings" w:hAnsi="Wingdings"/>
    </w:rPr>
  </w:style>
  <w:style w:type="character" w:styleId="WW8Num6z3" w:customStyle="1">
    <w:name w:val="WW8Num6z3"/>
    <w:qFormat/>
    <w:rsid w:val="004f712f"/>
    <w:rPr>
      <w:rFonts w:ascii="Symbol" w:hAnsi="Symbol"/>
    </w:rPr>
  </w:style>
  <w:style w:type="character" w:styleId="WW8Num6z4" w:customStyle="1">
    <w:name w:val="WW8Num6z4"/>
    <w:qFormat/>
    <w:rsid w:val="004f712f"/>
    <w:rPr>
      <w:rFonts w:ascii="Courier New" w:hAnsi="Courier New" w:cs="Courier New"/>
    </w:rPr>
  </w:style>
  <w:style w:type="character" w:styleId="WW8Num7z0" w:customStyle="1">
    <w:name w:val="WW8Num7z0"/>
    <w:qFormat/>
    <w:rsid w:val="004f712f"/>
    <w:rPr>
      <w:rFonts w:ascii="Courier New" w:hAnsi="Courier New"/>
    </w:rPr>
  </w:style>
  <w:style w:type="character" w:styleId="WW8Num7z2" w:customStyle="1">
    <w:name w:val="WW8Num7z2"/>
    <w:qFormat/>
    <w:rsid w:val="004f712f"/>
    <w:rPr>
      <w:rFonts w:ascii="Wingdings" w:hAnsi="Wingdings"/>
    </w:rPr>
  </w:style>
  <w:style w:type="character" w:styleId="WW8Num7z3" w:customStyle="1">
    <w:name w:val="WW8Num7z3"/>
    <w:qFormat/>
    <w:rsid w:val="004f712f"/>
    <w:rPr>
      <w:rFonts w:ascii="Symbol" w:hAnsi="Symbol"/>
    </w:rPr>
  </w:style>
  <w:style w:type="character" w:styleId="WW8Num7z4" w:customStyle="1">
    <w:name w:val="WW8Num7z4"/>
    <w:qFormat/>
    <w:rsid w:val="004f712f"/>
    <w:rPr>
      <w:rFonts w:ascii="Courier New" w:hAnsi="Courier New" w:cs="Courier New"/>
    </w:rPr>
  </w:style>
  <w:style w:type="character" w:styleId="WW8Num8z0" w:customStyle="1">
    <w:name w:val="WW8Num8z0"/>
    <w:qFormat/>
    <w:rsid w:val="004f712f"/>
    <w:rPr>
      <w:rFonts w:ascii="Courier New" w:hAnsi="Courier New"/>
    </w:rPr>
  </w:style>
  <w:style w:type="character" w:styleId="WW8Num8z2" w:customStyle="1">
    <w:name w:val="WW8Num8z2"/>
    <w:qFormat/>
    <w:rsid w:val="004f712f"/>
    <w:rPr>
      <w:rFonts w:ascii="Wingdings" w:hAnsi="Wingdings"/>
    </w:rPr>
  </w:style>
  <w:style w:type="character" w:styleId="WW8Num8z3" w:customStyle="1">
    <w:name w:val="WW8Num8z3"/>
    <w:qFormat/>
    <w:rsid w:val="004f712f"/>
    <w:rPr>
      <w:rFonts w:ascii="Symbol" w:hAnsi="Symbol"/>
    </w:rPr>
  </w:style>
  <w:style w:type="character" w:styleId="WW8Num8z4" w:customStyle="1">
    <w:name w:val="WW8Num8z4"/>
    <w:qFormat/>
    <w:rsid w:val="004f712f"/>
    <w:rPr>
      <w:rFonts w:ascii="Courier New" w:hAnsi="Courier New" w:cs="Courier New"/>
    </w:rPr>
  </w:style>
  <w:style w:type="character" w:styleId="WW8Num10z0" w:customStyle="1">
    <w:name w:val="WW8Num10z0"/>
    <w:qFormat/>
    <w:rsid w:val="004f712f"/>
    <w:rPr>
      <w:sz w:val="16"/>
    </w:rPr>
  </w:style>
  <w:style w:type="character" w:styleId="WW8NumSt9z0" w:customStyle="1">
    <w:name w:val="WW8NumSt9z0"/>
    <w:qFormat/>
    <w:rsid w:val="004f712f"/>
    <w:rPr>
      <w:rFonts w:ascii="Times New Roman" w:hAnsi="Times New Roman" w:cs="Times New Roman"/>
    </w:rPr>
  </w:style>
  <w:style w:type="character" w:styleId="11" w:customStyle="1">
    <w:name w:val="Основной шрифт абзаца1"/>
    <w:qFormat/>
    <w:rsid w:val="004f712f"/>
    <w:rPr/>
  </w:style>
  <w:style w:type="character" w:styleId="Style11" w:customStyle="1">
    <w:name w:val="Верхний колонтитул Знак"/>
    <w:uiPriority w:val="99"/>
    <w:qFormat/>
    <w:rsid w:val="004f712f"/>
    <w:rPr>
      <w:rFonts w:ascii="Times New Roman" w:hAnsi="Times New Roman" w:eastAsia="Times New Roman"/>
      <w:sz w:val="24"/>
      <w:szCs w:val="24"/>
    </w:rPr>
  </w:style>
  <w:style w:type="character" w:styleId="Style12" w:customStyle="1">
    <w:name w:val="Нижний колонтитул Знак"/>
    <w:uiPriority w:val="99"/>
    <w:qFormat/>
    <w:rsid w:val="004f712f"/>
    <w:rPr>
      <w:rFonts w:ascii="Times New Roman" w:hAnsi="Times New Roman" w:eastAsia="Times New Roman"/>
      <w:sz w:val="24"/>
      <w:szCs w:val="24"/>
    </w:rPr>
  </w:style>
  <w:style w:type="character" w:styleId="Style13" w:customStyle="1">
    <w:name w:val="Текст выноски Знак"/>
    <w:uiPriority w:val="99"/>
    <w:qFormat/>
    <w:rsid w:val="004f712f"/>
    <w:rPr>
      <w:rFonts w:ascii="Tahoma" w:hAnsi="Tahoma" w:eastAsia="Times New Roman" w:cs="Tahoma"/>
      <w:sz w:val="16"/>
      <w:szCs w:val="16"/>
    </w:rPr>
  </w:style>
  <w:style w:type="character" w:styleId="Strong">
    <w:name w:val="Strong"/>
    <w:qFormat/>
    <w:rsid w:val="004f712f"/>
    <w:rPr>
      <w:b/>
      <w:bCs/>
    </w:rPr>
  </w:style>
  <w:style w:type="character" w:styleId="Xdtextbox1" w:customStyle="1">
    <w:name w:val="xdtextbox1"/>
    <w:qFormat/>
    <w:rsid w:val="004f712f"/>
    <w:rPr>
      <w:color w:val="000000"/>
      <w:shd w:fill="FFFFFF" w:val="clear"/>
    </w:rPr>
  </w:style>
  <w:style w:type="character" w:styleId="12" w:customStyle="1">
    <w:name w:val="Заголовок 1 Знак"/>
    <w:qFormat/>
    <w:rsid w:val="004f712f"/>
    <w:rPr>
      <w:rFonts w:ascii="Times New Roman" w:hAnsi="Times New Roman" w:eastAsia="Times New Roman"/>
      <w:b/>
      <w:bCs/>
      <w:sz w:val="28"/>
      <w:szCs w:val="28"/>
      <w:lang w:val="en-US"/>
    </w:rPr>
  </w:style>
  <w:style w:type="character" w:styleId="Style14" w:customStyle="1">
    <w:name w:val="Название Знак"/>
    <w:qFormat/>
    <w:rsid w:val="00927b1f"/>
    <w:rPr>
      <w:rFonts w:ascii="Cambria" w:hAnsi="Cambria" w:eastAsia="Times New Roman" w:cs="Times New Roman"/>
      <w:b/>
      <w:bCs/>
      <w:kern w:val="2"/>
      <w:sz w:val="32"/>
      <w:szCs w:val="32"/>
      <w:lang w:eastAsia="ar-SA"/>
    </w:rPr>
  </w:style>
  <w:style w:type="character" w:styleId="Style15">
    <w:name w:val="Hyperlink"/>
    <w:uiPriority w:val="99"/>
    <w:unhideWhenUsed/>
    <w:rsid w:val="00b84c62"/>
    <w:rPr>
      <w:color w:val="0000FF"/>
      <w:u w:val="single"/>
    </w:rPr>
  </w:style>
  <w:style w:type="character" w:styleId="Headerusername" w:customStyle="1">
    <w:name w:val="header-user-name"/>
    <w:qFormat/>
    <w:rsid w:val="009e5635"/>
    <w:rPr/>
  </w:style>
  <w:style w:type="character" w:styleId="S3" w:customStyle="1">
    <w:name w:val="s3"/>
    <w:qFormat/>
    <w:rsid w:val="00c071a1"/>
    <w:rPr/>
  </w:style>
  <w:style w:type="character" w:styleId="31" w:customStyle="1">
    <w:name w:val="Заголовок 3 Знак"/>
    <w:qFormat/>
    <w:rsid w:val="00a14440"/>
    <w:rPr>
      <w:rFonts w:ascii="Cambria" w:hAnsi="Cambria" w:eastAsia="Times New Roman" w:cs="Times New Roman"/>
      <w:b/>
      <w:bCs/>
      <w:sz w:val="26"/>
      <w:szCs w:val="26"/>
      <w:lang w:eastAsia="ar-SA"/>
    </w:rPr>
  </w:style>
  <w:style w:type="character" w:styleId="Normal1" w:customStyle="1">
    <w:name w:val="Normal Знак"/>
    <w:link w:val="15"/>
    <w:qFormat/>
    <w:rsid w:val="00a927bb"/>
    <w:rPr>
      <w:sz w:val="24"/>
    </w:rPr>
  </w:style>
  <w:style w:type="character" w:styleId="21" w:customStyle="1">
    <w:name w:val="Основной текст (2)"/>
    <w:basedOn w:val="DefaultParagraphFont"/>
    <w:qFormat/>
    <w:rsid w:val="00ed6dd3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single"/>
      <w:lang w:val="ru-RU"/>
    </w:rPr>
  </w:style>
  <w:style w:type="character" w:styleId="22" w:customStyle="1">
    <w:name w:val="Заголовок 2 Знак"/>
    <w:basedOn w:val="DefaultParagraphFont"/>
    <w:semiHidden/>
    <w:qFormat/>
    <w:rsid w:val="005d3ba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  <w:lang w:eastAsia="ar-SA"/>
    </w:rPr>
  </w:style>
  <w:style w:type="character" w:styleId="23" w:customStyle="1">
    <w:name w:val="Основной текст с отступом 2 Знак"/>
    <w:basedOn w:val="DefaultParagraphFont"/>
    <w:link w:val="BodyTextIndent2"/>
    <w:semiHidden/>
    <w:qFormat/>
    <w:rsid w:val="005d3bad"/>
    <w:rPr>
      <w:rFonts w:cs="Calibri"/>
      <w:sz w:val="24"/>
      <w:szCs w:val="24"/>
      <w:lang w:eastAsia="ar-SA"/>
    </w:rPr>
  </w:style>
  <w:style w:type="character" w:styleId="Style16" w:customStyle="1">
    <w:name w:val="Основной текст_"/>
    <w:basedOn w:val="DefaultParagraphFont"/>
    <w:link w:val="16"/>
    <w:qFormat/>
    <w:rsid w:val="005d3bad"/>
    <w:rPr>
      <w:sz w:val="27"/>
      <w:szCs w:val="27"/>
      <w:shd w:fill="FFFFFF" w:val="clear"/>
    </w:rPr>
  </w:style>
  <w:style w:type="character" w:styleId="Blk" w:customStyle="1">
    <w:name w:val="blk"/>
    <w:basedOn w:val="DefaultParagraphFont"/>
    <w:qFormat/>
    <w:rsid w:val="005d3bad"/>
    <w:rPr/>
  </w:style>
  <w:style w:type="character" w:styleId="Style17" w:customStyle="1">
    <w:name w:val="Подзаголовок Знак"/>
    <w:basedOn w:val="DefaultParagraphFont"/>
    <w:qFormat/>
    <w:rsid w:val="00b66e92"/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  <w:lang w:eastAsia="ar-SA"/>
    </w:rPr>
  </w:style>
  <w:style w:type="character" w:styleId="24" w:customStyle="1">
    <w:name w:val="Основной текст 2 Знак"/>
    <w:basedOn w:val="DefaultParagraphFont"/>
    <w:link w:val="BodyText2"/>
    <w:qFormat/>
    <w:rsid w:val="00c25e58"/>
    <w:rPr>
      <w:rFonts w:cs="Calibri"/>
      <w:sz w:val="24"/>
      <w:szCs w:val="24"/>
      <w:lang w:eastAsia="ar-SA"/>
    </w:rPr>
  </w:style>
  <w:style w:type="character" w:styleId="Style18" w:customStyle="1">
    <w:name w:val="Абзац Знак"/>
    <w:link w:val="Style38"/>
    <w:qFormat/>
    <w:rsid w:val="009e6b38"/>
    <w:rPr>
      <w:sz w:val="24"/>
      <w:szCs w:val="24"/>
    </w:rPr>
  </w:style>
  <w:style w:type="character" w:styleId="Style19" w:customStyle="1">
    <w:name w:val="Абзац списка Знак"/>
    <w:link w:val="ListParagraph"/>
    <w:uiPriority w:val="34"/>
    <w:qFormat/>
    <w:locked/>
    <w:rsid w:val="00c34016"/>
    <w:rPr>
      <w:rFonts w:cs="Calibri"/>
      <w:sz w:val="24"/>
      <w:szCs w:val="24"/>
      <w:lang w:eastAsia="ar-SA"/>
    </w:rPr>
  </w:style>
  <w:style w:type="character" w:styleId="Style20" w:customStyle="1">
    <w:name w:val="Текст Знак"/>
    <w:basedOn w:val="DefaultParagraphFont"/>
    <w:link w:val="PlainText"/>
    <w:qFormat/>
    <w:rsid w:val="00cf1956"/>
    <w:rPr>
      <w:rFonts w:ascii="Courier New" w:hAnsi="Courier New" w:cs="Courier New"/>
    </w:rPr>
  </w:style>
  <w:style w:type="character" w:styleId="ConsPlusNormal" w:customStyle="1">
    <w:name w:val="ConsPlusNormal Знак"/>
    <w:link w:val="ConsPlusNormal1"/>
    <w:qFormat/>
    <w:rsid w:val="002926dc"/>
    <w:rPr>
      <w:rFonts w:ascii="Arial" w:hAnsi="Arial" w:cs="Arial"/>
      <w:lang w:eastAsia="ar-SA"/>
    </w:rPr>
  </w:style>
  <w:style w:type="character" w:styleId="Style21" w:customStyle="1">
    <w:name w:val="Таблица_название_таблицы Знак"/>
    <w:link w:val="Style39"/>
    <w:qFormat/>
    <w:rsid w:val="00027b32"/>
    <w:rPr>
      <w:b/>
      <w:bCs/>
      <w:sz w:val="22"/>
      <w:szCs w:val="22"/>
    </w:rPr>
  </w:style>
  <w:style w:type="character" w:styleId="111" w:customStyle="1">
    <w:name w:val="Табличный_таблица_11 Знак"/>
    <w:link w:val="113"/>
    <w:qFormat/>
    <w:rsid w:val="00027b32"/>
    <w:rPr>
      <w:sz w:val="22"/>
      <w:szCs w:val="22"/>
    </w:rPr>
  </w:style>
  <w:style w:type="character" w:styleId="112" w:customStyle="1">
    <w:name w:val="Табличный_боковик_11 Знак"/>
    <w:link w:val="114"/>
    <w:qFormat/>
    <w:rsid w:val="00027b32"/>
    <w:rPr>
      <w:sz w:val="22"/>
      <w:szCs w:val="24"/>
    </w:rPr>
  </w:style>
  <w:style w:type="character" w:styleId="Style22" w:customStyle="1">
    <w:name w:val="Схема документа Знак"/>
    <w:basedOn w:val="DefaultParagraphFont"/>
    <w:link w:val="DocumentMap"/>
    <w:semiHidden/>
    <w:qFormat/>
    <w:rsid w:val="00794918"/>
    <w:rPr>
      <w:rFonts w:ascii="Tahoma" w:hAnsi="Tahoma" w:cs="Tahoma"/>
      <w:sz w:val="16"/>
      <w:szCs w:val="16"/>
      <w:lang w:eastAsia="ar-SA"/>
    </w:rPr>
  </w:style>
  <w:style w:type="character" w:styleId="Style23">
    <w:name w:val="Ссылка указателя"/>
    <w:qFormat/>
    <w:rPr/>
  </w:style>
  <w:style w:type="paragraph" w:styleId="Style24" w:customStyle="1">
    <w:name w:val="Заголовок"/>
    <w:basedOn w:val="Normal"/>
    <w:next w:val="Style25"/>
    <w:qFormat/>
    <w:rsid w:val="004f712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Style25">
    <w:name w:val="Body Text"/>
    <w:basedOn w:val="Normal"/>
    <w:rsid w:val="004f712f"/>
    <w:pPr>
      <w:spacing w:before="0" w:after="120"/>
    </w:pPr>
    <w:rPr/>
  </w:style>
  <w:style w:type="paragraph" w:styleId="Style26">
    <w:name w:val="List"/>
    <w:basedOn w:val="Style25"/>
    <w:rsid w:val="004f712f"/>
    <w:pPr/>
    <w:rPr>
      <w:rFonts w:ascii="Arial" w:hAnsi="Arial" w:cs="Tahoma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3" w:customStyle="1">
    <w:name w:val="Название1"/>
    <w:basedOn w:val="Normal"/>
    <w:qFormat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4" w:customStyle="1">
    <w:name w:val="Указатель1"/>
    <w:basedOn w:val="Normal"/>
    <w:qFormat/>
    <w:rsid w:val="004f712f"/>
    <w:pPr>
      <w:suppressLineNumbers/>
    </w:pPr>
    <w:rPr>
      <w:rFonts w:ascii="Arial" w:hAnsi="Arial" w:cs="Tahoma"/>
    </w:rPr>
  </w:style>
  <w:style w:type="paragraph" w:styleId="ListParagraph">
    <w:name w:val="List Paragraph"/>
    <w:basedOn w:val="Normal"/>
    <w:link w:val="Style19"/>
    <w:uiPriority w:val="1"/>
    <w:qFormat/>
    <w:rsid w:val="004f712f"/>
    <w:pPr>
      <w:ind w:left="720" w:hanging="0"/>
    </w:pPr>
    <w:rPr/>
  </w:style>
  <w:style w:type="paragraph" w:styleId="ConsPlusNormal1" w:customStyle="1">
    <w:name w:val="ConsPlusNormal"/>
    <w:link w:val="ConsPlusNormal"/>
    <w:qFormat/>
    <w:rsid w:val="004f712f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uiPriority w:val="99"/>
    <w:rsid w:val="004f712f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uiPriority w:val="99"/>
    <w:rsid w:val="004f712f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qFormat/>
    <w:rsid w:val="004f712f"/>
    <w:pPr/>
    <w:rPr>
      <w:rFonts w:ascii="Tahoma" w:hAnsi="Tahoma" w:cs="Tahoma"/>
      <w:sz w:val="16"/>
      <w:szCs w:val="16"/>
    </w:rPr>
  </w:style>
  <w:style w:type="paragraph" w:styleId="Bodytext" w:customStyle="1">
    <w:name w:val="bodytext"/>
    <w:basedOn w:val="Normal"/>
    <w:qFormat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styleId="211" w:customStyle="1">
    <w:name w:val="Основной текст с отступом 21"/>
    <w:basedOn w:val="Normal"/>
    <w:qFormat/>
    <w:rsid w:val="004f712f"/>
    <w:pPr>
      <w:widowControl w:val="false"/>
      <w:overflowPunct w:val="true"/>
      <w:ind w:left="426" w:hanging="426"/>
      <w:jc w:val="both"/>
      <w:textAlignment w:val="baseline"/>
    </w:pPr>
    <w:rPr>
      <w:sz w:val="26"/>
      <w:szCs w:val="20"/>
    </w:rPr>
  </w:style>
  <w:style w:type="paragraph" w:styleId="Style32" w:customStyle="1">
    <w:name w:val="Содержимое таблицы"/>
    <w:basedOn w:val="Normal"/>
    <w:qFormat/>
    <w:rsid w:val="004f712f"/>
    <w:pPr>
      <w:suppressLineNumbers/>
    </w:pPr>
    <w:rPr/>
  </w:style>
  <w:style w:type="paragraph" w:styleId="Style33" w:customStyle="1">
    <w:name w:val="Заголовок таблицы"/>
    <w:basedOn w:val="Style32"/>
    <w:qFormat/>
    <w:rsid w:val="004f712f"/>
    <w:pPr>
      <w:jc w:val="center"/>
    </w:pPr>
    <w:rPr>
      <w:b/>
      <w:bCs/>
    </w:rPr>
  </w:style>
  <w:style w:type="paragraph" w:styleId="Style34">
    <w:name w:val="Title"/>
    <w:basedOn w:val="Normal"/>
    <w:next w:val="Normal"/>
    <w:link w:val="Style14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P10" w:customStyle="1">
    <w:name w:val="p10"/>
    <w:basedOn w:val="Normal"/>
    <w:qFormat/>
    <w:rsid w:val="00c071a1"/>
    <w:pPr>
      <w:suppressAutoHyphens w:val="false"/>
      <w:spacing w:beforeAutospacing="1" w:afterAutospacing="1"/>
    </w:pPr>
    <w:rPr>
      <w:rFonts w:cs="Times New Roman"/>
      <w:lang w:eastAsia="ru-RU"/>
    </w:rPr>
  </w:style>
  <w:style w:type="paragraph" w:styleId="P11" w:customStyle="1">
    <w:name w:val="p11"/>
    <w:basedOn w:val="Normal"/>
    <w:qFormat/>
    <w:rsid w:val="00c071a1"/>
    <w:pPr>
      <w:suppressAutoHyphens w:val="false"/>
      <w:spacing w:beforeAutospacing="1" w:afterAutospacing="1"/>
    </w:pPr>
    <w:rPr>
      <w:rFonts w:cs="Times New Roman"/>
      <w:lang w:eastAsia="ru-RU"/>
    </w:rPr>
  </w:style>
  <w:style w:type="paragraph" w:styleId="Style35" w:customStyle="1">
    <w:name w:val="???????"/>
    <w:qFormat/>
    <w:rsid w:val="00a14440"/>
    <w:pPr>
      <w:widowControl w:val="false"/>
      <w:tabs>
        <w:tab w:val="clear" w:pos="709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before="0" w:after="0"/>
      <w:jc w:val="left"/>
    </w:pPr>
    <w:rPr>
      <w:rFonts w:ascii="Lucida Sans Unicode" w:hAnsi="Lucida Sans Unicode" w:eastAsia="Lucida Sans Unicode" w:cs="Times New Roman"/>
      <w:color w:val="FFFFFF"/>
      <w:kern w:val="0"/>
      <w:sz w:val="48"/>
      <w:szCs w:val="48"/>
      <w:lang w:val="ru-RU" w:eastAsia="ru-RU" w:bidi="ar-SA"/>
    </w:rPr>
  </w:style>
  <w:style w:type="paragraph" w:styleId="15" w:customStyle="1">
    <w:name w:val="Обычный1"/>
    <w:link w:val="Normal1"/>
    <w:qFormat/>
    <w:rsid w:val="00a927bb"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4" w:customStyle="1">
    <w:name w:val="Основной текст4"/>
    <w:basedOn w:val="Normal"/>
    <w:qFormat/>
    <w:rsid w:val="00ed6dd3"/>
    <w:pPr>
      <w:widowControl w:val="false"/>
      <w:shd w:val="clear" w:color="auto" w:fill="FFFFFF"/>
      <w:suppressAutoHyphens w:val="false"/>
      <w:spacing w:lineRule="atLeast" w:line="0"/>
      <w:ind w:hanging="1760"/>
    </w:pPr>
    <w:rPr>
      <w:rFonts w:cs="Times New Roman"/>
      <w:color w:val="000000"/>
      <w:sz w:val="27"/>
      <w:szCs w:val="27"/>
      <w:lang w:eastAsia="ru-RU"/>
    </w:rPr>
  </w:style>
  <w:style w:type="paragraph" w:styleId="BodyTextIndent2">
    <w:name w:val="Body Text Indent 2"/>
    <w:basedOn w:val="Normal"/>
    <w:link w:val="23"/>
    <w:semiHidden/>
    <w:unhideWhenUsed/>
    <w:qFormat/>
    <w:rsid w:val="005d3bad"/>
    <w:pPr>
      <w:spacing w:lineRule="auto" w:line="480" w:before="0" w:after="120"/>
      <w:ind w:left="283" w:hanging="0"/>
    </w:pPr>
    <w:rPr/>
  </w:style>
  <w:style w:type="paragraph" w:styleId="25">
    <w:name w:val="TOC 2"/>
    <w:basedOn w:val="Normal"/>
    <w:next w:val="Normal"/>
    <w:autoRedefine/>
    <w:uiPriority w:val="39"/>
    <w:rsid w:val="008e4b65"/>
    <w:pPr>
      <w:ind w:left="240" w:hanging="0"/>
    </w:pPr>
    <w:rPr>
      <w:smallCaps/>
      <w:szCs w:val="20"/>
    </w:rPr>
  </w:style>
  <w:style w:type="paragraph" w:styleId="NormalWeb">
    <w:name w:val="Normal (Web)"/>
    <w:basedOn w:val="Normal"/>
    <w:uiPriority w:val="99"/>
    <w:qFormat/>
    <w:rsid w:val="005d3bad"/>
    <w:pPr>
      <w:suppressAutoHyphens w:val="false"/>
      <w:spacing w:beforeAutospacing="1" w:afterAutospacing="1"/>
    </w:pPr>
    <w:rPr>
      <w:rFonts w:cs="Times New Roman"/>
      <w:lang w:eastAsia="ru-RU"/>
    </w:rPr>
  </w:style>
  <w:style w:type="paragraph" w:styleId="16" w:customStyle="1">
    <w:name w:val="Основной текст1"/>
    <w:basedOn w:val="Normal"/>
    <w:link w:val="Style16"/>
    <w:qFormat/>
    <w:rsid w:val="005d3bad"/>
    <w:pPr>
      <w:widowControl w:val="false"/>
      <w:shd w:val="clear" w:color="auto" w:fill="FFFFFF"/>
      <w:suppressAutoHyphens w:val="false"/>
      <w:spacing w:lineRule="exact" w:line="326"/>
    </w:pPr>
    <w:rPr>
      <w:rFonts w:cs="Times New Roman"/>
      <w:sz w:val="27"/>
      <w:szCs w:val="27"/>
      <w:lang w:eastAsia="ru-RU"/>
    </w:rPr>
  </w:style>
  <w:style w:type="paragraph" w:styleId="Default" w:customStyle="1">
    <w:name w:val="Default"/>
    <w:qFormat/>
    <w:rsid w:val="005d3ba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36" w:customStyle="1">
    <w:name w:val="Содержимое врезки"/>
    <w:basedOn w:val="Style25"/>
    <w:qFormat/>
    <w:rsid w:val="00670d60"/>
    <w:pPr>
      <w:spacing w:before="0" w:after="0"/>
      <w:jc w:val="center"/>
    </w:pPr>
    <w:rPr>
      <w:rFonts w:cs="Times New Roman"/>
      <w:b/>
      <w:sz w:val="22"/>
    </w:rPr>
  </w:style>
  <w:style w:type="paragraph" w:styleId="Style37">
    <w:name w:val="Subtitle"/>
    <w:basedOn w:val="Normal"/>
    <w:next w:val="Normal"/>
    <w:link w:val="Style17"/>
    <w:qFormat/>
    <w:rsid w:val="00b66e92"/>
    <w:pPr>
      <w:spacing w:before="0" w:after="160"/>
    </w:pPr>
    <w:rPr>
      <w:rFonts w:ascii="Calibri" w:hAnsi="Calibri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17">
    <w:name w:val="TOC 1"/>
    <w:basedOn w:val="Normal"/>
    <w:next w:val="Normal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2">
    <w:name w:val="TOC 3"/>
    <w:basedOn w:val="Normal"/>
    <w:next w:val="Normal"/>
    <w:autoRedefine/>
    <w:uiPriority w:val="39"/>
    <w:unhideWhenUsed/>
    <w:rsid w:val="00b66e92"/>
    <w:pPr>
      <w:ind w:left="480" w:hanging="0"/>
    </w:pPr>
    <w:rPr>
      <w:rFonts w:ascii="Calibri" w:hAnsi="Calibri" w:asciiTheme="minorHAnsi" w:hAnsiTheme="minorHAnsi"/>
      <w:i/>
      <w:iCs/>
      <w:sz w:val="20"/>
      <w:szCs w:val="20"/>
    </w:rPr>
  </w:style>
  <w:style w:type="paragraph" w:styleId="26" w:customStyle="1">
    <w:name w:val="Стиль Заголовок 2"/>
    <w:basedOn w:val="2"/>
    <w:autoRedefine/>
    <w:qFormat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styleId="18" w:customStyle="1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1">
    <w:name w:val="TOC 4"/>
    <w:basedOn w:val="Normal"/>
    <w:next w:val="Normal"/>
    <w:autoRedefine/>
    <w:unhideWhenUsed/>
    <w:rsid w:val="00a30a0b"/>
    <w:pPr>
      <w:ind w:left="720" w:hanging="0"/>
    </w:pPr>
    <w:rPr>
      <w:rFonts w:ascii="Calibri" w:hAnsi="Calibri" w:asciiTheme="minorHAnsi" w:hAnsiTheme="minorHAnsi"/>
      <w:sz w:val="18"/>
      <w:szCs w:val="18"/>
    </w:rPr>
  </w:style>
  <w:style w:type="paragraph" w:styleId="5">
    <w:name w:val="TOC 5"/>
    <w:basedOn w:val="Normal"/>
    <w:next w:val="Normal"/>
    <w:autoRedefine/>
    <w:unhideWhenUsed/>
    <w:rsid w:val="00a30a0b"/>
    <w:pPr>
      <w:ind w:left="960" w:hanging="0"/>
    </w:pPr>
    <w:rPr>
      <w:rFonts w:ascii="Calibri" w:hAnsi="Calibri" w:asciiTheme="minorHAnsi" w:hAnsiTheme="minorHAnsi"/>
      <w:sz w:val="18"/>
      <w:szCs w:val="18"/>
    </w:rPr>
  </w:style>
  <w:style w:type="paragraph" w:styleId="6">
    <w:name w:val="TOC 6"/>
    <w:basedOn w:val="Normal"/>
    <w:next w:val="Normal"/>
    <w:autoRedefine/>
    <w:unhideWhenUsed/>
    <w:rsid w:val="00a30a0b"/>
    <w:pPr>
      <w:ind w:left="1200" w:hanging="0"/>
    </w:pPr>
    <w:rPr>
      <w:rFonts w:ascii="Calibri" w:hAnsi="Calibri" w:asciiTheme="minorHAnsi" w:hAnsiTheme="minorHAnsi"/>
      <w:sz w:val="18"/>
      <w:szCs w:val="18"/>
    </w:rPr>
  </w:style>
  <w:style w:type="paragraph" w:styleId="7">
    <w:name w:val="TOC 7"/>
    <w:basedOn w:val="Normal"/>
    <w:next w:val="Normal"/>
    <w:autoRedefine/>
    <w:unhideWhenUsed/>
    <w:rsid w:val="00a30a0b"/>
    <w:pPr>
      <w:ind w:left="1440" w:hanging="0"/>
    </w:pPr>
    <w:rPr>
      <w:rFonts w:ascii="Calibri" w:hAnsi="Calibri" w:asciiTheme="minorHAnsi" w:hAnsiTheme="minorHAnsi"/>
      <w:sz w:val="18"/>
      <w:szCs w:val="18"/>
    </w:rPr>
  </w:style>
  <w:style w:type="paragraph" w:styleId="8">
    <w:name w:val="TOC 8"/>
    <w:basedOn w:val="Normal"/>
    <w:next w:val="Normal"/>
    <w:autoRedefine/>
    <w:unhideWhenUsed/>
    <w:rsid w:val="00a30a0b"/>
    <w:pPr>
      <w:ind w:left="1680" w:hanging="0"/>
    </w:pPr>
    <w:rPr>
      <w:rFonts w:ascii="Calibri" w:hAnsi="Calibri" w:asciiTheme="minorHAnsi" w:hAnsiTheme="minorHAnsi"/>
      <w:sz w:val="18"/>
      <w:szCs w:val="18"/>
    </w:rPr>
  </w:style>
  <w:style w:type="paragraph" w:styleId="9">
    <w:name w:val="TOC 9"/>
    <w:basedOn w:val="Normal"/>
    <w:next w:val="Normal"/>
    <w:autoRedefine/>
    <w:unhideWhenUsed/>
    <w:rsid w:val="00a30a0b"/>
    <w:pPr>
      <w:ind w:left="1920" w:hanging="0"/>
    </w:pPr>
    <w:rPr>
      <w:rFonts w:ascii="Calibri" w:hAnsi="Calibri" w:asciiTheme="minorHAnsi" w:hAnsiTheme="minorHAnsi"/>
      <w:sz w:val="18"/>
      <w:szCs w:val="18"/>
    </w:rPr>
  </w:style>
  <w:style w:type="paragraph" w:styleId="33" w:customStyle="1">
    <w:name w:val="Обычный3"/>
    <w:qFormat/>
    <w:rsid w:val="00ef2c71"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ru-RU" w:eastAsia="ar-SA" w:bidi="ar-SA"/>
    </w:rPr>
  </w:style>
  <w:style w:type="paragraph" w:styleId="BodyText2">
    <w:name w:val="Body Text 2"/>
    <w:basedOn w:val="Normal"/>
    <w:link w:val="24"/>
    <w:unhideWhenUsed/>
    <w:qFormat/>
    <w:rsid w:val="00c25e58"/>
    <w:pPr>
      <w:spacing w:lineRule="auto" w:line="480" w:before="0" w:after="120"/>
    </w:pPr>
    <w:rPr/>
  </w:style>
  <w:style w:type="paragraph" w:styleId="27" w:customStyle="1">
    <w:name w:val="Красная строка2"/>
    <w:basedOn w:val="Style25"/>
    <w:qFormat/>
    <w:rsid w:val="00c25e58"/>
    <w:pPr>
      <w:widowControl w:val="false"/>
      <w:ind w:firstLine="210"/>
    </w:pPr>
    <w:rPr>
      <w:rFonts w:eastAsia="Lucida Sans Unicode" w:cs="Times New Roman"/>
      <w:kern w:val="2"/>
    </w:rPr>
  </w:style>
  <w:style w:type="paragraph" w:styleId="Style38" w:customStyle="1">
    <w:name w:val="Абзац"/>
    <w:basedOn w:val="Normal"/>
    <w:link w:val="Style18"/>
    <w:qFormat/>
    <w:rsid w:val="009e6b38"/>
    <w:pPr>
      <w:suppressAutoHyphens w:val="false"/>
      <w:spacing w:before="120" w:after="60"/>
      <w:ind w:firstLine="567"/>
      <w:jc w:val="both"/>
    </w:pPr>
    <w:rPr>
      <w:rFonts w:cs="Times New Roman"/>
      <w:lang w:eastAsia="ru-RU"/>
    </w:rPr>
  </w:style>
  <w:style w:type="paragraph" w:styleId="PlainText">
    <w:name w:val="Plain Text"/>
    <w:basedOn w:val="Normal"/>
    <w:link w:val="Style20"/>
    <w:qFormat/>
    <w:rsid w:val="00cf1956"/>
    <w:pPr>
      <w:suppressAutoHyphens w:val="false"/>
    </w:pPr>
    <w:rPr>
      <w:rFonts w:ascii="Courier New" w:hAnsi="Courier New" w:cs="Courier New"/>
      <w:sz w:val="20"/>
      <w:szCs w:val="20"/>
      <w:lang w:eastAsia="ru-RU"/>
    </w:rPr>
  </w:style>
  <w:style w:type="paragraph" w:styleId="Style39" w:customStyle="1">
    <w:name w:val="Таблица_название_таблицы"/>
    <w:next w:val="Normal"/>
    <w:link w:val="Style21"/>
    <w:autoRedefine/>
    <w:qFormat/>
    <w:rsid w:val="00027b32"/>
    <w:pPr>
      <w:keepNext w:val="true"/>
      <w:widowControl/>
      <w:suppressAutoHyphens w:val="true"/>
      <w:bidi w:val="0"/>
      <w:spacing w:before="60" w:after="60"/>
      <w:jc w:val="center"/>
    </w:pPr>
    <w:rPr>
      <w:rFonts w:ascii="Times New Roman" w:hAnsi="Times New Roman" w:eastAsia="Times New Roman" w:cs="Times New Roman"/>
      <w:b/>
      <w:bCs/>
      <w:color w:val="auto"/>
      <w:kern w:val="0"/>
      <w:sz w:val="22"/>
      <w:szCs w:val="22"/>
      <w:lang w:val="ru-RU" w:eastAsia="ru-RU" w:bidi="ar-SA"/>
    </w:rPr>
  </w:style>
  <w:style w:type="paragraph" w:styleId="113" w:customStyle="1">
    <w:name w:val="Табличный_таблица_11"/>
    <w:link w:val="111"/>
    <w:qFormat/>
    <w:rsid w:val="00027b32"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14" w:customStyle="1">
    <w:name w:val="Табличный_боковик_11"/>
    <w:link w:val="112"/>
    <w:qFormat/>
    <w:rsid w:val="00027b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ru-RU" w:eastAsia="ru-RU" w:bidi="ar-SA"/>
    </w:rPr>
  </w:style>
  <w:style w:type="paragraph" w:styleId="2612" w:customStyle="1">
    <w:name w:val="Стиль Стиль Заголовок 2 + Перед:  6 пт после: 12 пт"/>
    <w:basedOn w:val="26"/>
    <w:autoRedefine/>
    <w:qFormat/>
    <w:rsid w:val="009a487f"/>
    <w:pPr/>
    <w:rPr>
      <w:rFonts w:eastAsia="Times New Roman" w:cs="Times New Roman"/>
      <w:bCs/>
    </w:rPr>
  </w:style>
  <w:style w:type="paragraph" w:styleId="DocumentMap">
    <w:name w:val="Document Map"/>
    <w:basedOn w:val="Normal"/>
    <w:link w:val="Style22"/>
    <w:semiHidden/>
    <w:unhideWhenUsed/>
    <w:qFormat/>
    <w:rsid w:val="00794918"/>
    <w:pPr/>
    <w:rPr>
      <w:rFonts w:ascii="Tahoma" w:hAnsi="Tahoma" w:cs="Tahoma"/>
      <w:sz w:val="16"/>
      <w:szCs w:val="16"/>
    </w:rPr>
  </w:style>
  <w:style w:type="paragraph" w:styleId="19" w:customStyle="1">
    <w:name w:val="Без интервала1"/>
    <w:qFormat/>
    <w:rsid w:val="00794918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3a0f5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Стиль таблицы1"/>
    <w:basedOn w:val="af4"/>
    <w:rsid w:val="005d3bad"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image" Target="media/image2.png"/><Relationship Id="rId6" Type="http://schemas.openxmlformats.org/officeDocument/2006/relationships/image" Target="media/image3.tif"/><Relationship Id="rId7" Type="http://schemas.openxmlformats.org/officeDocument/2006/relationships/image" Target="media/image4.png"/><Relationship Id="rId8" Type="http://schemas.openxmlformats.org/officeDocument/2006/relationships/image" Target="media/image5.tif"/><Relationship Id="rId9" Type="http://schemas.openxmlformats.org/officeDocument/2006/relationships/hyperlink" Target="https://ru.wikipedia.org/wiki/25_&#1092;&#1077;&#1074;&#1088;&#1072;&#1083;&#1103;" TargetMode="External"/><Relationship Id="rId10" Type="http://schemas.openxmlformats.org/officeDocument/2006/relationships/hyperlink" Target="https://ru.wikipedia.org/wiki/2005_&#1075;&#1086;&#1076;" TargetMode="External"/><Relationship Id="rId11" Type="http://schemas.openxmlformats.org/officeDocument/2006/relationships/hyperlink" Target="https://ru.wikipedia.org/wiki/&#1048;&#1083;&#1100;&#1080;&#1085;&#1089;&#1082;&#1086;&#1077;-&#1061;&#1086;&#1074;&#1072;&#1085;&#1089;&#1082;&#1086;&#1077;" TargetMode="External"/><Relationship Id="rId12" Type="http://schemas.openxmlformats.org/officeDocument/2006/relationships/hyperlink" Target="https://ru.wikipedia.org/wiki/&#1048;&#1083;&#1100;&#1080;&#1085;&#1089;&#1082;&#1086;&#1077;-&#1061;&#1086;&#1074;&#1072;&#1085;&#1089;&#1082;&#1086;&#1077;" TargetMode="External"/><Relationship Id="rId13" Type="http://schemas.openxmlformats.org/officeDocument/2006/relationships/image" Target="media/image6.png"/><Relationship Id="rId14" Type="http://schemas.openxmlformats.org/officeDocument/2006/relationships/image" Target="media/image7.jpe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oleObject" Target="embeddings/oleObject1.bin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3.png"/><Relationship Id="rId23" Type="http://schemas.openxmlformats.org/officeDocument/2006/relationships/image" Target="media/image14.png"/><Relationship Id="rId24" Type="http://schemas.openxmlformats.org/officeDocument/2006/relationships/header" Target="header3.xml"/><Relationship Id="rId25" Type="http://schemas.openxmlformats.org/officeDocument/2006/relationships/footer" Target="footer1.xml"/><Relationship Id="rId26" Type="http://schemas.openxmlformats.org/officeDocument/2006/relationships/numbering" Target="numbering.xml"/><Relationship Id="rId27" Type="http://schemas.openxmlformats.org/officeDocument/2006/relationships/fontTable" Target="fontTable.xml"/><Relationship Id="rId28" Type="http://schemas.openxmlformats.org/officeDocument/2006/relationships/settings" Target="settings.xml"/><Relationship Id="rId29" Type="http://schemas.openxmlformats.org/officeDocument/2006/relationships/theme" Target="theme/theme1.xml"/><Relationship Id="rId3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8277D-1E2C-494C-A2E8-8F48B436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Application>LibreOffice/7.4.1.2$Windows_X86_64 LibreOffice_project/3c58a8f3a960df8bc8fd77b461821e42c061c5f0</Application>
  <AppVersion>15.0000</AppVersion>
  <Pages>20</Pages>
  <Words>3933</Words>
  <Characters>30869</Characters>
  <CharactersWithSpaces>34481</CharactersWithSpaces>
  <Paragraphs>428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2016-09-08T16:11:00Z</dcterms:created>
  <dc:creator>НП "ОборонСтрой"</dc:creator>
  <dc:description>www.obstr.ru</dc:description>
  <dc:language>ru-RU</dc:language>
  <cp:lastModifiedBy/>
  <cp:lastPrinted>2023-08-23T10:43:28Z</cp:lastPrinted>
  <dcterms:modified xsi:type="dcterms:W3CDTF">2023-08-23T10:46:18Z</dcterms:modified>
  <cp:revision>116</cp:revision>
  <dc:subject/>
  <dc:title>Заявление на допуск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